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805" w:rsidRDefault="009E16BF" w:rsidP="00D66E30">
      <w:pPr>
        <w:pStyle w:val="Title"/>
        <w:ind w:firstLine="0"/>
      </w:pPr>
      <w:r w:rsidRPr="009E16BF">
        <w:t xml:space="preserve">Membrane Fatty Acid Composition </w:t>
      </w:r>
      <w:proofErr w:type="gramStart"/>
      <w:r w:rsidR="003867AF">
        <w:t>As</w:t>
      </w:r>
      <w:proofErr w:type="gramEnd"/>
      <w:r w:rsidR="003867AF">
        <w:t xml:space="preserve"> a Function of Growth</w:t>
      </w:r>
      <w:r w:rsidR="00C012B3">
        <w:t xml:space="preserve"> Temperature</w:t>
      </w:r>
    </w:p>
    <w:p w:rsidR="009E16BF" w:rsidRPr="00C27570" w:rsidRDefault="00277B2A" w:rsidP="008F76F0">
      <w:pPr>
        <w:pStyle w:val="Subtitle"/>
        <w:rPr>
          <w:b/>
          <w:i w:val="0"/>
        </w:rPr>
      </w:pPr>
      <w:r>
        <w:rPr>
          <w:i w:val="0"/>
        </w:rPr>
        <w:t xml:space="preserve">From </w:t>
      </w:r>
      <w:r w:rsidR="009E16BF" w:rsidRPr="00C27570">
        <w:rPr>
          <w:i w:val="0"/>
        </w:rPr>
        <w:t>Schultz, E</w:t>
      </w:r>
      <w:r w:rsidR="001A4F2C">
        <w:rPr>
          <w:i w:val="0"/>
        </w:rPr>
        <w:t>.</w:t>
      </w:r>
      <w:r w:rsidR="009E16BF" w:rsidRPr="00C27570">
        <w:rPr>
          <w:i w:val="0"/>
        </w:rPr>
        <w:t>; Pugh, M</w:t>
      </w:r>
      <w:r w:rsidR="001A4F2C">
        <w:rPr>
          <w:i w:val="0"/>
        </w:rPr>
        <w:t xml:space="preserve">. </w:t>
      </w:r>
      <w:r w:rsidR="009E16BF" w:rsidRPr="00C27570">
        <w:rPr>
          <w:i w:val="0"/>
        </w:rPr>
        <w:t xml:space="preserve">E. </w:t>
      </w:r>
      <w:r w:rsidR="009E16BF" w:rsidRPr="00C27570">
        <w:t>J. Chem. Educ.</w:t>
      </w:r>
      <w:r w:rsidR="009E16BF" w:rsidRPr="00C27570">
        <w:rPr>
          <w:i w:val="0"/>
        </w:rPr>
        <w:t xml:space="preserve"> </w:t>
      </w:r>
      <w:r w:rsidR="009E16BF" w:rsidRPr="00C27570">
        <w:rPr>
          <w:b/>
          <w:bCs/>
          <w:i w:val="0"/>
        </w:rPr>
        <w:t>2001</w:t>
      </w:r>
      <w:r w:rsidR="00C27570">
        <w:rPr>
          <w:b/>
          <w:bCs/>
          <w:i w:val="0"/>
        </w:rPr>
        <w:t>,</w:t>
      </w:r>
      <w:r w:rsidR="009E16BF" w:rsidRPr="00C27570">
        <w:rPr>
          <w:i w:val="0"/>
        </w:rPr>
        <w:t xml:space="preserve"> </w:t>
      </w:r>
      <w:r w:rsidR="009E16BF" w:rsidRPr="00C27570">
        <w:t>78</w:t>
      </w:r>
      <w:r w:rsidR="00C27570">
        <w:rPr>
          <w:i w:val="0"/>
        </w:rPr>
        <w:t>,</w:t>
      </w:r>
      <w:r w:rsidR="009E16BF" w:rsidRPr="00C27570">
        <w:rPr>
          <w:i w:val="0"/>
        </w:rPr>
        <w:t xml:space="preserve"> 944</w:t>
      </w:r>
    </w:p>
    <w:p w:rsidR="00221805" w:rsidRPr="000D2D44" w:rsidRDefault="00AB4FDC" w:rsidP="000D2D44">
      <w:pPr>
        <w:pStyle w:val="Heading1"/>
      </w:pPr>
      <w:r w:rsidRPr="000D2D44">
        <w:t>Introduction</w:t>
      </w:r>
    </w:p>
    <w:p w:rsidR="00D44FD3" w:rsidRDefault="00D51A51" w:rsidP="00D51A51">
      <w:r>
        <w:t>Here’s one for you:  poikilothermic (Greek: "</w:t>
      </w:r>
      <w:proofErr w:type="spellStart"/>
      <w:r>
        <w:t>poikilos</w:t>
      </w:r>
      <w:proofErr w:type="spellEnd"/>
      <w:r>
        <w:t xml:space="preserve">" </w:t>
      </w:r>
      <w:r>
        <w:rPr>
          <w:i/>
          <w:iCs/>
        </w:rPr>
        <w:t>π</w:t>
      </w:r>
      <w:proofErr w:type="spellStart"/>
      <w:r>
        <w:rPr>
          <w:i/>
          <w:iCs/>
        </w:rPr>
        <w:t>οικίλος</w:t>
      </w:r>
      <w:proofErr w:type="spellEnd"/>
      <w:r>
        <w:t xml:space="preserve"> = "varied," "</w:t>
      </w:r>
      <w:proofErr w:type="spellStart"/>
      <w:r>
        <w:t>thermia</w:t>
      </w:r>
      <w:proofErr w:type="spellEnd"/>
      <w:r>
        <w:t xml:space="preserve">" </w:t>
      </w:r>
      <w:proofErr w:type="spellStart"/>
      <w:r>
        <w:rPr>
          <w:i/>
          <w:iCs/>
        </w:rPr>
        <w:t>θερμί</w:t>
      </w:r>
      <w:proofErr w:type="spellEnd"/>
      <w:r>
        <w:rPr>
          <w:i/>
          <w:iCs/>
        </w:rPr>
        <w:t>α</w:t>
      </w:r>
      <w:r>
        <w:t xml:space="preserve"> = "heat").  </w:t>
      </w:r>
      <w:r w:rsidR="00936C8D">
        <w:t xml:space="preserve">A poikilothermic </w:t>
      </w:r>
      <w:r>
        <w:t xml:space="preserve">organism </w:t>
      </w:r>
      <w:r w:rsidR="00936C8D">
        <w:t xml:space="preserve">is one </w:t>
      </w:r>
      <w:r>
        <w:t xml:space="preserve">whose temperature </w:t>
      </w:r>
      <w:r w:rsidR="00936C8D">
        <w:t xml:space="preserve">tends to </w:t>
      </w:r>
      <w:r>
        <w:t xml:space="preserve">match the temperature of its surroundings.  Examples are </w:t>
      </w:r>
      <w:r w:rsidRPr="00F529E7">
        <w:t>bacteria</w:t>
      </w:r>
      <w:r>
        <w:t xml:space="preserve">, </w:t>
      </w:r>
      <w:r w:rsidRPr="00F529E7">
        <w:t>fungi</w:t>
      </w:r>
      <w:r>
        <w:t xml:space="preserve">, algae, and </w:t>
      </w:r>
      <w:r w:rsidRPr="00F529E7">
        <w:t>plants</w:t>
      </w:r>
      <w:r>
        <w:t>.</w:t>
      </w:r>
      <w:r w:rsidR="00936C8D">
        <w:t xml:space="preserve">  </w:t>
      </w:r>
      <w:r w:rsidR="00C12B9E">
        <w:t xml:space="preserve">The composition of the cell membrane of these organisms varies, depending on the temperature at which they grow.  The change in composition with temperature has the effect of keeping the membrane’s viscosity constant.  This is called (drum roll) </w:t>
      </w:r>
      <w:proofErr w:type="spellStart"/>
      <w:r w:rsidR="00C12B9E">
        <w:t>homeoviscous</w:t>
      </w:r>
      <w:proofErr w:type="spellEnd"/>
      <w:r w:rsidR="00C12B9E">
        <w:t xml:space="preserve"> adaptation (</w:t>
      </w:r>
      <w:proofErr w:type="spellStart"/>
      <w:r w:rsidR="00C12B9E">
        <w:t>homeo</w:t>
      </w:r>
      <w:proofErr w:type="spellEnd"/>
      <w:r w:rsidR="00C12B9E">
        <w:t xml:space="preserve">- is a combining form meaning “like”, or “similar”).  </w:t>
      </w:r>
      <w:proofErr w:type="spellStart"/>
      <w:r w:rsidR="003867AF">
        <w:t>Ho</w:t>
      </w:r>
      <w:r w:rsidR="00C12B9E">
        <w:t>meoviscous</w:t>
      </w:r>
      <w:proofErr w:type="spellEnd"/>
      <w:r w:rsidR="00C12B9E">
        <w:t xml:space="preserve"> </w:t>
      </w:r>
      <w:r w:rsidR="003867AF">
        <w:t xml:space="preserve">adaptation presumably allows the proteins in the cell membrane to function over a range of temperatures.  </w:t>
      </w:r>
    </w:p>
    <w:p w:rsidR="00464F88" w:rsidRDefault="003867AF" w:rsidP="00D51A51">
      <w:r>
        <w:t xml:space="preserve">Typically, as temperature </w:t>
      </w:r>
      <w:proofErr w:type="gramStart"/>
      <w:r>
        <w:t>increases,</w:t>
      </w:r>
      <w:proofErr w:type="gramEnd"/>
      <w:r>
        <w:t xml:space="preserve"> the fraction of long-chain</w:t>
      </w:r>
      <w:r w:rsidR="00863022">
        <w:t xml:space="preserve"> and</w:t>
      </w:r>
      <w:r>
        <w:t xml:space="preserve"> saturated fatty acids increases, as the fraction of short-chain</w:t>
      </w:r>
      <w:r w:rsidR="00863022">
        <w:t xml:space="preserve"> and</w:t>
      </w:r>
      <w:r>
        <w:t xml:space="preserve"> unsaturated, lower melting point fatty acids decreases.  </w:t>
      </w:r>
      <w:proofErr w:type="gramStart"/>
      <w:r>
        <w:t>Also, at higher temperatures cyclopropane rings form</w:t>
      </w:r>
      <w:r w:rsidR="00D44FD3">
        <w:t>, presumably by addition of methylene to the double bonds of unsaturated fatty acids.</w:t>
      </w:r>
      <w:proofErr w:type="gramEnd"/>
      <w:r>
        <w:t xml:space="preserve">  </w:t>
      </w:r>
      <w:r w:rsidR="00D44FD3">
        <w:t xml:space="preserve">This was first observed </w:t>
      </w:r>
      <w:r>
        <w:t xml:space="preserve">in </w:t>
      </w:r>
      <w:r>
        <w:rPr>
          <w:i/>
        </w:rPr>
        <w:t>E. coli</w:t>
      </w:r>
      <w:r w:rsidR="00D44FD3">
        <w:t>, which is the organism that will be examined in this lab.</w:t>
      </w:r>
    </w:p>
    <w:p w:rsidR="00D44FD3" w:rsidRPr="003867AF" w:rsidRDefault="00D44FD3" w:rsidP="00D51A51">
      <w:r>
        <w:t>T</w:t>
      </w:r>
      <w:r w:rsidRPr="009E16BF">
        <w:t>he</w:t>
      </w:r>
      <w:r>
        <w:t xml:space="preserve"> source of the </w:t>
      </w:r>
      <w:r w:rsidRPr="009E16BF">
        <w:t>fatty acids</w:t>
      </w:r>
      <w:r>
        <w:t xml:space="preserve"> is </w:t>
      </w:r>
      <w:r w:rsidRPr="009E16BF">
        <w:t>phosphoglycerides, sphingolipids and glycolipids</w:t>
      </w:r>
      <w:r>
        <w:t xml:space="preserve"> in the cell membrane</w:t>
      </w:r>
      <w:r w:rsidRPr="009E16BF">
        <w:t xml:space="preserve">.  </w:t>
      </w:r>
      <w:r>
        <w:t>H</w:t>
      </w:r>
      <w:r w:rsidRPr="009E16BF">
        <w:t xml:space="preserve">ydrolysis </w:t>
      </w:r>
      <w:r>
        <w:t xml:space="preserve">of </w:t>
      </w:r>
      <w:r w:rsidRPr="009E16BF">
        <w:t xml:space="preserve">these biomolecules breaks </w:t>
      </w:r>
      <w:r>
        <w:t xml:space="preserve">them </w:t>
      </w:r>
      <w:r w:rsidRPr="009E16BF">
        <w:t xml:space="preserve">into their component parts.  Sphingolipids and glycolipids </w:t>
      </w:r>
      <w:r>
        <w:t xml:space="preserve">produce </w:t>
      </w:r>
      <w:r w:rsidRPr="009E16BF">
        <w:t>one fatty acid each</w:t>
      </w:r>
      <w:r>
        <w:t xml:space="preserve">; </w:t>
      </w:r>
      <w:r w:rsidRPr="009E16BF">
        <w:t xml:space="preserve">phosphoglycerides </w:t>
      </w:r>
      <w:r>
        <w:t xml:space="preserve">produce </w:t>
      </w:r>
      <w:r w:rsidRPr="009E16BF">
        <w:t xml:space="preserve">two.  </w:t>
      </w:r>
    </w:p>
    <w:p w:rsidR="00D44FD3" w:rsidRPr="00871F91" w:rsidRDefault="00D44FD3" w:rsidP="00D66E30">
      <w:pPr>
        <w:pStyle w:val="Heading1"/>
        <w:spacing w:before="360"/>
        <w:rPr>
          <w:vanish/>
        </w:rPr>
      </w:pPr>
      <w:r w:rsidRPr="00871F91">
        <w:rPr>
          <w:vanish/>
        </w:rPr>
        <w:t>[Above can be CC’ed]</w:t>
      </w:r>
    </w:p>
    <w:p w:rsidR="00221805" w:rsidRPr="009E16BF" w:rsidRDefault="00863022" w:rsidP="00D66E30">
      <w:pPr>
        <w:pStyle w:val="Heading1"/>
        <w:spacing w:before="360"/>
      </w:pPr>
      <w:r>
        <w:t>Determining</w:t>
      </w:r>
      <w:r w:rsidR="006022FF">
        <w:t xml:space="preserve"> the </w:t>
      </w:r>
      <w:r>
        <w:t>F</w:t>
      </w:r>
      <w:r w:rsidR="006022FF">
        <w:t xml:space="preserve">atty </w:t>
      </w:r>
      <w:r>
        <w:t>A</w:t>
      </w:r>
      <w:r w:rsidR="006022FF">
        <w:t xml:space="preserve">cids </w:t>
      </w:r>
      <w:r>
        <w:t>P</w:t>
      </w:r>
      <w:r w:rsidR="006022FF">
        <w:t xml:space="preserve">resent in the </w:t>
      </w:r>
      <w:r>
        <w:t xml:space="preserve">Cell </w:t>
      </w:r>
      <w:r w:rsidR="00AB4FDC" w:rsidRPr="009E16BF">
        <w:t>Membrane</w:t>
      </w:r>
    </w:p>
    <w:p w:rsidR="00221805" w:rsidRPr="009E16BF" w:rsidRDefault="00863022" w:rsidP="008F76F0">
      <w:r>
        <w:t xml:space="preserve">The </w:t>
      </w:r>
      <w:r w:rsidRPr="009E16BF">
        <w:t xml:space="preserve">fatty acids </w:t>
      </w:r>
      <w:r>
        <w:t>will be separated, identified,</w:t>
      </w:r>
      <w:r w:rsidR="00AB4FDC" w:rsidRPr="009E16BF">
        <w:t xml:space="preserve"> and </w:t>
      </w:r>
      <w:r>
        <w:t>the amounts present determined with</w:t>
      </w:r>
      <w:r w:rsidR="004D154E">
        <w:t xml:space="preserve"> a </w:t>
      </w:r>
      <w:r w:rsidR="00AB4FDC" w:rsidRPr="009E16BF">
        <w:t>gas chromatography-mass</w:t>
      </w:r>
      <w:r w:rsidR="00BE2233">
        <w:t xml:space="preserve"> spectrometry,</w:t>
      </w:r>
      <w:r w:rsidR="00AB4FDC" w:rsidRPr="009E16BF">
        <w:t xml:space="preserve"> GC-MS.  </w:t>
      </w:r>
      <w:r>
        <w:t>T</w:t>
      </w:r>
      <w:r w:rsidR="001A4F2C">
        <w:t xml:space="preserve">he </w:t>
      </w:r>
      <w:r w:rsidR="00826296">
        <w:t xml:space="preserve">sample size required by the </w:t>
      </w:r>
      <w:r w:rsidR="001A4F2C">
        <w:t xml:space="preserve">GC-MS </w:t>
      </w:r>
      <w:r w:rsidR="00826296">
        <w:t xml:space="preserve">is </w:t>
      </w:r>
      <w:r w:rsidR="001A4F2C">
        <w:t xml:space="preserve">very </w:t>
      </w:r>
      <w:r w:rsidR="00826296">
        <w:t xml:space="preserve">tiny, </w:t>
      </w:r>
      <w:r>
        <w:t xml:space="preserve">so </w:t>
      </w:r>
      <w:r w:rsidR="00AB4FDC" w:rsidRPr="009E16BF">
        <w:t xml:space="preserve">small amounts of biological material will generate </w:t>
      </w:r>
      <w:r w:rsidR="00826296">
        <w:t xml:space="preserve">enough </w:t>
      </w:r>
      <w:r w:rsidR="00AB4FDC" w:rsidRPr="009E16BF">
        <w:t xml:space="preserve">material for analysis.  </w:t>
      </w:r>
      <w:r w:rsidR="00826296" w:rsidRPr="009E16BF">
        <w:t xml:space="preserve">GC-MS </w:t>
      </w:r>
      <w:r w:rsidR="00826296">
        <w:t xml:space="preserve">requires </w:t>
      </w:r>
      <w:r w:rsidR="00AB4FDC" w:rsidRPr="009E16BF">
        <w:t xml:space="preserve">that the species to be </w:t>
      </w:r>
      <w:r>
        <w:t xml:space="preserve">analyzed </w:t>
      </w:r>
      <w:r w:rsidR="00826296">
        <w:t xml:space="preserve">be </w:t>
      </w:r>
      <w:r w:rsidR="00AB4FDC" w:rsidRPr="009E16BF">
        <w:t>volatile</w:t>
      </w:r>
      <w:r>
        <w:t xml:space="preserve">, because the GC requires that they be in the </w:t>
      </w:r>
      <w:r w:rsidR="00AB4FDC" w:rsidRPr="009E16BF">
        <w:t xml:space="preserve">gas phase.  </w:t>
      </w:r>
      <w:r>
        <w:t>However, f</w:t>
      </w:r>
      <w:r w:rsidR="00AB4FDC" w:rsidRPr="009E16BF">
        <w:t>atty acids are not very volatile</w:t>
      </w:r>
      <w:r>
        <w:t xml:space="preserve">, because they are </w:t>
      </w:r>
      <w:proofErr w:type="gramStart"/>
      <w:r>
        <w:t>polar</w:t>
      </w:r>
      <w:proofErr w:type="gramEnd"/>
      <w:r>
        <w:t xml:space="preserve"> and can hydrogen bond</w:t>
      </w:r>
      <w:r w:rsidR="00AB4FDC" w:rsidRPr="009E16BF">
        <w:t xml:space="preserve">.  </w:t>
      </w:r>
      <w:r>
        <w:t xml:space="preserve">Also, </w:t>
      </w:r>
      <w:r w:rsidR="00AB4FDC" w:rsidRPr="009E16BF">
        <w:t xml:space="preserve">the polar </w:t>
      </w:r>
      <w:r>
        <w:t xml:space="preserve">hydrogen </w:t>
      </w:r>
      <w:r w:rsidR="00AB4FDC" w:rsidRPr="009E16BF">
        <w:t xml:space="preserve">bonding of the carboxyl group causes </w:t>
      </w:r>
      <w:r w:rsidR="00826296">
        <w:t>the peaks to get broader</w:t>
      </w:r>
      <w:r w:rsidR="00BE2233">
        <w:t xml:space="preserve">.  </w:t>
      </w:r>
      <w:r w:rsidR="00AB4FDC" w:rsidRPr="009E16BF">
        <w:t>Th</w:t>
      </w:r>
      <w:r w:rsidR="00826296">
        <w:t>ese</w:t>
      </w:r>
      <w:r w:rsidR="00AB4FDC" w:rsidRPr="009E16BF">
        <w:t xml:space="preserve"> problem</w:t>
      </w:r>
      <w:r w:rsidR="00826296">
        <w:t>s</w:t>
      </w:r>
      <w:r w:rsidR="00AB4FDC" w:rsidRPr="009E16BF">
        <w:t xml:space="preserve"> </w:t>
      </w:r>
      <w:r w:rsidR="00826296">
        <w:t>are</w:t>
      </w:r>
      <w:r w:rsidR="00AB4FDC" w:rsidRPr="009E16BF">
        <w:t xml:space="preserve"> overcome by converting the fatty acids to </w:t>
      </w:r>
      <w:r w:rsidRPr="009E16BF">
        <w:t>methyl esters</w:t>
      </w:r>
      <w:r>
        <w:t>, which are more volatile than the</w:t>
      </w:r>
      <w:r w:rsidR="006F0E44">
        <w:t xml:space="preserve"> original acids; </w:t>
      </w:r>
      <w:r w:rsidR="00826296">
        <w:t xml:space="preserve">these FAMEs (fatty acid methyl esters) are then injected into the </w:t>
      </w:r>
      <w:r w:rsidR="00AB4FDC" w:rsidRPr="009E16BF">
        <w:t>GC-MS</w:t>
      </w:r>
      <w:r w:rsidR="00826296">
        <w:t xml:space="preserve"> for analysis</w:t>
      </w:r>
      <w:r w:rsidR="00AB4FDC" w:rsidRPr="009E16BF">
        <w:t>.</w:t>
      </w:r>
    </w:p>
    <w:p w:rsidR="00E733DE" w:rsidRDefault="00E733DE">
      <w:pPr>
        <w:spacing w:before="480" w:line="276" w:lineRule="auto"/>
        <w:ind w:firstLine="0"/>
        <w:rPr>
          <w:rFonts w:asciiTheme="majorHAnsi" w:eastAsiaTheme="majorEastAsia" w:hAnsiTheme="majorHAnsi" w:cstheme="majorBidi"/>
          <w:b/>
          <w:bCs/>
          <w:color w:val="365F91" w:themeColor="accent1" w:themeShade="BF"/>
          <w:sz w:val="28"/>
          <w:szCs w:val="28"/>
        </w:rPr>
      </w:pPr>
      <w:r>
        <w:br w:type="page"/>
      </w:r>
    </w:p>
    <w:p w:rsidR="00221805" w:rsidRPr="000D2D44" w:rsidRDefault="00C27570" w:rsidP="000D2D44">
      <w:pPr>
        <w:pStyle w:val="Heading1"/>
      </w:pPr>
      <w:r w:rsidRPr="000D2D44">
        <w:lastRenderedPageBreak/>
        <w:t>Procedure</w:t>
      </w:r>
    </w:p>
    <w:p w:rsidR="00221805" w:rsidRPr="009E16BF" w:rsidRDefault="00AB4FDC" w:rsidP="00E733DE">
      <w:pPr>
        <w:pStyle w:val="Heading2"/>
      </w:pPr>
      <w:r w:rsidRPr="009E16BF">
        <w:t xml:space="preserve">Preparation of the </w:t>
      </w:r>
      <w:r w:rsidR="00C27570">
        <w:t>FAMEs</w:t>
      </w:r>
    </w:p>
    <w:p w:rsidR="00D66E30" w:rsidRPr="009E16BF" w:rsidRDefault="006F0E44" w:rsidP="00D66E30">
      <w:r w:rsidRPr="009E16BF">
        <w:t>Figure 1</w:t>
      </w:r>
      <w:r>
        <w:t xml:space="preserve"> gives a summary of the procedure</w:t>
      </w:r>
      <w:r w:rsidR="00D66E30" w:rsidRPr="009E16BF">
        <w:t>.</w:t>
      </w:r>
    </w:p>
    <w:p w:rsidR="00D66E30" w:rsidRDefault="008E7497" w:rsidP="00D66E30">
      <w:r>
        <w:rPr>
          <w:noProof/>
          <w:lang w:bidi="ar-SA"/>
        </w:rPr>
        <w:pict>
          <v:group id="_x0000_s1297" editas="canvas" style="position:absolute;margin-left:0;margin-top:0;width:423.25pt;height:296.4pt;z-index:251660288;mso-position-horizontal-relative:char;mso-position-vertical-relative:line" coordorigin="1953,2074" coordsize="8465,59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8" type="#_x0000_t75" style="position:absolute;left:1953;top:2074;width:8465;height:5928" o:preferrelative="f">
              <v:fill o:detectmouseclick="t"/>
              <v:path o:extrusionok="t" o:connecttype="none"/>
              <o:lock v:ext="edit" text="t"/>
            </v:shape>
            <v:group id="_x0000_s1299" style="position:absolute;left:2008;top:2422;width:439;height:1495" coordorigin="432,912" coordsize="241,767" o:allowincell="f">
              <v:shapetype id="_x0000_t135" coordsize="21600,21600" o:spt="135" path="m10800,qx21600,10800,10800,21600l,21600,,xe">
                <v:stroke joinstyle="miter"/>
                <v:path gradientshapeok="t" o:connecttype="rect" textboxrect="0,3163,18437,18437"/>
              </v:shapetype>
              <v:shape id="_x0000_s1300" type="#_x0000_t135" style="position:absolute;left:169;top:1175;width:767;height:241;rotation:5878683fd;v-text-anchor:middle" filled="f" fillcolor="#0c9" strokeweight="2.5pt"/>
              <v:shape id="_x0000_s1301" type="#_x0000_t135" style="position:absolute;left:289;top:1295;width:527;height:241;rotation:5878683fd;v-text-anchor:middle" fillcolor="#fc0" strokeweight="2.5pt"/>
            </v:group>
            <v:group id="_x0000_s1302" style="position:absolute;left:5682;top:2422;width:440;height:1495" coordorigin="2016,912" coordsize="241,767" o:allowincell="f">
              <v:shape id="_x0000_s1303" type="#_x0000_t135" style="position:absolute;left:1753;top:1175;width:767;height:241;rotation:5878683fd;v-text-anchor:middle" filled="f" fillcolor="#0c9" strokeweight="2.5pt"/>
              <v:shape id="_x0000_s1304" type="#_x0000_t135" style="position:absolute;left:2089;top:1511;width:189;height:47;rotation:-6961569fd;flip:x;v-text-anchor:middle" fillcolor="#fc0" strokecolor="#fc0" strokeweight="2.5pt"/>
            </v:group>
            <v:line id="_x0000_s1305" style="position:absolute;v-text-anchor:middle" from="2707,3077" to="5332,3078" o:allowincell="f">
              <v:stroke endarrow="block"/>
            </v:line>
            <v:shapetype id="_x0000_t202" coordsize="21600,21600" o:spt="202" path="m,l,21600r21600,l21600,xe">
              <v:stroke joinstyle="miter"/>
              <v:path gradientshapeok="t" o:connecttype="rect"/>
            </v:shapetype>
            <v:shape id="_x0000_s1306" type="#_x0000_t202" style="position:absolute;left:2550;top:2347;width:2860;height:720;v-text-anchor:top-baseline" o:allowincell="f" filled="f" fillcolor="#0c9" stroked="f">
              <v:textbox style="mso-next-textbox:#_x0000_s1306">
                <w:txbxContent>
                  <w:p w:rsidR="008E7497" w:rsidRDefault="008E7497" w:rsidP="00D66E30">
                    <w:pPr>
                      <w:spacing w:before="0"/>
                      <w:ind w:firstLine="0"/>
                      <w:rPr>
                        <w:snapToGrid w:val="0"/>
                      </w:rPr>
                    </w:pPr>
                    <w:r>
                      <w:rPr>
                        <w:snapToGrid w:val="0"/>
                      </w:rPr>
                      <w:t>Centrifuge cell culture &amp; pour off supernatant</w:t>
                    </w:r>
                  </w:p>
                </w:txbxContent>
              </v:textbox>
            </v:shape>
            <v:line id="_x0000_s1307" style="position:absolute;v-text-anchor:middle" from="6470,3077" to="9620,3078" o:allowincell="f">
              <v:stroke endarrow="block"/>
            </v:line>
            <v:shape id="_x0000_s1308" type="#_x0000_t202" style="position:absolute;left:6334;top:2074;width:3477;height:1008;v-text-anchor:top-baseline" o:allowincell="f" filled="f" fillcolor="#0c9" stroked="f">
              <v:textbox style="mso-next-textbox:#_x0000_s1308">
                <w:txbxContent>
                  <w:p w:rsidR="008E7497" w:rsidRDefault="008E7497" w:rsidP="00D66E30">
                    <w:pPr>
                      <w:spacing w:before="0"/>
                      <w:ind w:firstLine="0"/>
                      <w:rPr>
                        <w:snapToGrid w:val="0"/>
                      </w:rPr>
                    </w:pPr>
                    <w:proofErr w:type="spellStart"/>
                    <w:r>
                      <w:rPr>
                        <w:snapToGrid w:val="0"/>
                      </w:rPr>
                      <w:t>Resuspend</w:t>
                    </w:r>
                    <w:proofErr w:type="spellEnd"/>
                    <w:r>
                      <w:rPr>
                        <w:snapToGrid w:val="0"/>
                      </w:rPr>
                      <w:t xml:space="preserve"> in 2.5 mL</w:t>
                    </w:r>
                  </w:p>
                  <w:p w:rsidR="008E7497" w:rsidRDefault="008E7497" w:rsidP="00D66E30">
                    <w:pPr>
                      <w:spacing w:before="0"/>
                      <w:ind w:firstLine="0"/>
                      <w:rPr>
                        <w:snapToGrid w:val="0"/>
                      </w:rPr>
                    </w:pPr>
                    <w:proofErr w:type="spellStart"/>
                    <w:proofErr w:type="gramStart"/>
                    <w:r>
                      <w:rPr>
                        <w:snapToGrid w:val="0"/>
                      </w:rPr>
                      <w:t>methanol:</w:t>
                    </w:r>
                    <w:proofErr w:type="gramEnd"/>
                    <w:r>
                      <w:rPr>
                        <w:snapToGrid w:val="0"/>
                      </w:rPr>
                      <w:t>toluene</w:t>
                    </w:r>
                    <w:proofErr w:type="spellEnd"/>
                    <w:r>
                      <w:rPr>
                        <w:snapToGrid w:val="0"/>
                      </w:rPr>
                      <w:t xml:space="preserve"> (4:1)</w:t>
                    </w:r>
                  </w:p>
                  <w:p w:rsidR="008E7497" w:rsidRDefault="008E7497" w:rsidP="00D66E30">
                    <w:pPr>
                      <w:spacing w:before="0"/>
                      <w:ind w:firstLine="0"/>
                      <w:rPr>
                        <w:snapToGrid w:val="0"/>
                      </w:rPr>
                    </w:pPr>
                  </w:p>
                </w:txbxContent>
              </v:textbox>
            </v:shape>
            <v:group id="_x0000_s1337" style="position:absolute;left:9796;top:2512;width:436;height:1405" coordorigin="9796,2512" coordsize="436,1405">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310" type="#_x0000_t22" style="position:absolute;left:9796;top:2512;width:436;height:1405;v-text-anchor:middle" o:allowincell="f" adj="703" filled="f" fillcolor="#0c9" strokeweight="2.5pt"/>
              <v:shape id="_x0000_s1311" type="#_x0000_t22" style="position:absolute;left:9796;top:3355;width:436;height:562;v-text-anchor:middle" o:allowincell="f" fillcolor="#fc0" strokeweight="2.5pt"/>
              <v:line id="_x0000_s1312" style="position:absolute;flip:y;v-text-anchor:middle" from="9796,2608" to="10232,2700" o:allowincell="f" strokeweight="2.25pt"/>
              <v:line id="_x0000_s1313" style="position:absolute;flip:y;v-text-anchor:middle" from="9796,2512" to="10232,2608" o:allowincell="f" strokeweight="2.25pt"/>
              <v:line id="_x0000_s1314" style="position:absolute;flip:y;v-text-anchor:middle" from="9796,2700" to="10232,2795" o:allowincell="f" strokeweight="2.25pt"/>
            </v:group>
            <v:line id="_x0000_s1315" style="position:absolute;v-text-anchor:middle" from="10054,4109" to="10055,5699" o:allowincell="f">
              <v:stroke endarrow="block"/>
            </v:line>
            <v:shape id="_x0000_s1316" type="#_x0000_t202" style="position:absolute;left:6334;top:3820;width:3523;height:1879;v-text-anchor:top-baseline" o:allowincell="f" filled="f" fillcolor="#0c9" stroked="f">
              <v:textbox style="mso-next-textbox:#_x0000_s1316">
                <w:txbxContent>
                  <w:p w:rsidR="008E7497" w:rsidRDefault="008E7497" w:rsidP="00D66E30">
                    <w:pPr>
                      <w:spacing w:before="0"/>
                      <w:ind w:firstLine="0"/>
                      <w:rPr>
                        <w:snapToGrid w:val="0"/>
                      </w:rPr>
                    </w:pPr>
                    <w:r>
                      <w:rPr>
                        <w:snapToGrid w:val="0"/>
                      </w:rPr>
                      <w:t>Add small stirring bar</w:t>
                    </w:r>
                  </w:p>
                  <w:p w:rsidR="008E7497" w:rsidRDefault="008E7497" w:rsidP="00D66E30">
                    <w:pPr>
                      <w:spacing w:before="0"/>
                      <w:ind w:firstLine="0"/>
                      <w:rPr>
                        <w:snapToGrid w:val="0"/>
                      </w:rPr>
                    </w:pPr>
                    <w:r>
                      <w:rPr>
                        <w:snapToGrid w:val="0"/>
                      </w:rPr>
                      <w:t xml:space="preserve">&amp; 200 µL of acetyl </w:t>
                    </w:r>
                  </w:p>
                  <w:p w:rsidR="008E7497" w:rsidRDefault="008E7497" w:rsidP="00D66E30">
                    <w:pPr>
                      <w:spacing w:before="0"/>
                      <w:ind w:firstLine="0"/>
                      <w:rPr>
                        <w:snapToGrid w:val="0"/>
                      </w:rPr>
                    </w:pPr>
                    <w:proofErr w:type="gramStart"/>
                    <w:r>
                      <w:rPr>
                        <w:snapToGrid w:val="0"/>
                      </w:rPr>
                      <w:t>chloride</w:t>
                    </w:r>
                    <w:proofErr w:type="gramEnd"/>
                    <w:r>
                      <w:rPr>
                        <w:snapToGrid w:val="0"/>
                      </w:rPr>
                      <w:t>; transfer to a glass screw cap vial; cap tightly and heat in a boiling water bath for 60 minutes.</w:t>
                    </w:r>
                  </w:p>
                </w:txbxContent>
              </v:textbox>
            </v:shape>
            <v:shape id="_x0000_s1317" type="#_x0000_t202" style="position:absolute;left:6723;top:5811;width:2970;height:1422;v-text-anchor:top-baseline" o:allowincell="f" filled="f" fillcolor="#0c9" stroked="f">
              <v:textbox style="mso-next-textbox:#_x0000_s1317">
                <w:txbxContent>
                  <w:p w:rsidR="008E7497" w:rsidRDefault="008E7497" w:rsidP="00D66E30">
                    <w:pPr>
                      <w:spacing w:before="0"/>
                      <w:ind w:firstLine="0"/>
                      <w:rPr>
                        <w:snapToGrid w:val="0"/>
                      </w:rPr>
                    </w:pPr>
                    <w:r>
                      <w:rPr>
                        <w:snapToGrid w:val="0"/>
                      </w:rPr>
                      <w:t>Neutralize with Na</w:t>
                    </w:r>
                    <w:r>
                      <w:rPr>
                        <w:snapToGrid w:val="0"/>
                        <w:vertAlign w:val="subscript"/>
                      </w:rPr>
                      <w:t>2</w:t>
                    </w:r>
                    <w:r>
                      <w:rPr>
                        <w:snapToGrid w:val="0"/>
                      </w:rPr>
                      <w:t>CO</w:t>
                    </w:r>
                    <w:r>
                      <w:rPr>
                        <w:snapToGrid w:val="0"/>
                        <w:vertAlign w:val="subscript"/>
                      </w:rPr>
                      <w:t>3</w:t>
                    </w:r>
                    <w:r>
                      <w:t xml:space="preserve">.  Transfer to a </w:t>
                    </w:r>
                    <w:r>
                      <w:rPr>
                        <w:snapToGrid w:val="0"/>
                      </w:rPr>
                      <w:t>centrifuge tube, add 1.0 mL toluene, and mix</w:t>
                    </w:r>
                  </w:p>
                </w:txbxContent>
              </v:textbox>
            </v:shape>
            <v:group id="_x0000_s1318" style="position:absolute;left:2083;top:6484;width:440;height:1492" coordorigin="2392,6489" coordsize="440,1492">
              <v:shape id="_x0000_s1319" type="#_x0000_t135" style="position:absolute;left:1866;top:7015;width:1492;height:440;rotation:5878683fd;v-text-anchor:middle" o:allowincell="f" filled="f" fillcolor="#0c9" strokeweight="2.5pt"/>
              <v:shape id="_x0000_s1320" type="#_x0000_t135" style="position:absolute;left:2518;top:7110;width:188;height:440;rotation:5878683fd;v-text-anchor:middle" o:allowincell="f" fillcolor="#fc0" strokeweight="2.5pt"/>
            </v:group>
            <v:line id="_x0000_s1321" style="position:absolute;flip:x y;v-text-anchor:middle" from="2783,7134" to="5058,7135" o:allowincell="f">
              <v:stroke endarrow="block"/>
            </v:line>
            <v:group id="_x0000_s1322" style="position:absolute;left:5758;top:6481;width:440;height:1495" coordorigin="2112,3072" coordsize="241,767" o:allowincell="f">
              <v:shape id="_x0000_s1323" type="#_x0000_t135" style="position:absolute;left:1849;top:3335;width:767;height:241;rotation:5878683fd;v-text-anchor:middle" filled="f" fillcolor="#0c9" strokeweight="2.5pt"/>
              <v:shape id="_x0000_s1324" type="#_x0000_t135" style="position:absolute;left:2066;top:3550;width:334;height:241;rotation:5878683fd;v-text-anchor:middle" fillcolor="#fc0" strokeweight="2.5pt"/>
            </v:group>
            <v:line id="_x0000_s1325" style="position:absolute;flip:x;v-text-anchor:middle" from="6633,7134" to="9520,7135" o:allowincell="f">
              <v:stroke endarrow="block"/>
            </v:line>
            <v:group id="_x0000_s1326" style="position:absolute;left:9783;top:6386;width:612;height:1590" coordorigin="3744,2976" coordsize="336,816" o:allowincell="f">
              <v:shape id="_x0000_s1327" type="#_x0000_t22" style="position:absolute;left:3792;top:3504;width:240;height:288;v-text-anchor:middle" fillcolor="#fc0" strokeweight="2.5pt"/>
              <v:group id="_x0000_s1328" style="position:absolute;left:3744;top:2976;width:336;height:816" coordorigin="1920,1488" coordsize="336,816">
                <v:shape id="_x0000_s1329" type="#_x0000_t22" style="position:absolute;left:1968;top:1536;width:240;height:768;v-text-anchor:middle" filled="f" fillcolor="#0c9" strokeweight="2.5pt"/>
                <v:shape id="_x0000_s1330" type="#_x0000_t22" style="position:absolute;left:1920;top:1488;width:336;height:240;v-text-anchor:middle" fillcolor="black" strokeweight="2.25pt"/>
              </v:group>
              <v:shape id="_x0000_s1331" type="#_x0000_t22" style="position:absolute;left:3840;top:3696;width:144;height:48;v-text-anchor:middle" strokecolor="white" strokeweight="2.5pt"/>
            </v:group>
            <v:shape id="_x0000_s1332" type="#_x0000_t202" style="position:absolute;left:2775;top:5850;width:2752;height:1511;v-text-anchor:top-baseline" o:allowincell="f" filled="f" fillcolor="#0c9" stroked="f">
              <v:textbox style="mso-next-textbox:#_x0000_s1332">
                <w:txbxContent>
                  <w:p w:rsidR="008E7497" w:rsidRDefault="008E7497" w:rsidP="00D66E30">
                    <w:pPr>
                      <w:spacing w:before="0"/>
                      <w:ind w:firstLine="0"/>
                      <w:rPr>
                        <w:snapToGrid w:val="0"/>
                      </w:rPr>
                    </w:pPr>
                    <w:r>
                      <w:rPr>
                        <w:snapToGrid w:val="0"/>
                      </w:rPr>
                      <w:t xml:space="preserve">Centrifuge; transfer top </w:t>
                    </w:r>
                  </w:p>
                  <w:p w:rsidR="008E7497" w:rsidRDefault="008E7497" w:rsidP="00521D6C">
                    <w:pPr>
                      <w:spacing w:before="0"/>
                      <w:ind w:firstLine="0"/>
                      <w:rPr>
                        <w:snapToGrid w:val="0"/>
                      </w:rPr>
                    </w:pPr>
                    <w:proofErr w:type="gramStart"/>
                    <w:r>
                      <w:rPr>
                        <w:snapToGrid w:val="0"/>
                      </w:rPr>
                      <w:t>layer</w:t>
                    </w:r>
                    <w:proofErr w:type="gramEnd"/>
                    <w:r>
                      <w:rPr>
                        <w:snapToGrid w:val="0"/>
                      </w:rPr>
                      <w:t xml:space="preserve"> into GC-MS sample vial; 1 </w:t>
                    </w:r>
                    <w:r>
                      <w:rPr>
                        <w:rFonts w:ascii="Symbol" w:hAnsi="Symbol"/>
                        <w:snapToGrid w:val="0"/>
                      </w:rPr>
                      <w:t></w:t>
                    </w:r>
                    <w:r>
                      <w:rPr>
                        <w:snapToGrid w:val="0"/>
                      </w:rPr>
                      <w:t>L will be inject in the instrument</w:t>
                    </w:r>
                  </w:p>
                </w:txbxContent>
              </v:textbox>
            </v:shape>
          </v:group>
        </w:pict>
      </w:r>
      <w:r>
        <w:pict>
          <v:shape id="_x0000_i1026" type="#_x0000_t75" style="width:423pt;height:296.25pt">
            <v:imagedata croptop="-65520f" cropbottom="65520f"/>
          </v:shape>
        </w:pict>
      </w:r>
    </w:p>
    <w:p w:rsidR="00D66E30" w:rsidRDefault="008E7497" w:rsidP="008F76F0">
      <w:r>
        <w:pict>
          <v:shape id="_x0000_s1339" type="#_x0000_t202" style="width:423.25pt;height:20.7pt;mso-left-percent:-10001;mso-top-percent:-10001;mso-position-horizontal:absolute;mso-position-horizontal-relative:char;mso-position-vertical:absolute;mso-position-vertical-relative:line;mso-left-percent:-10001;mso-top-percent:-10001" stroked="f">
            <v:textbox inset="0,0,0,0">
              <w:txbxContent>
                <w:p w:rsidR="008E7497" w:rsidRPr="00203A6B" w:rsidRDefault="008E7497" w:rsidP="00D66E30">
                  <w:pPr>
                    <w:pStyle w:val="Caption"/>
                    <w:rPr>
                      <w:sz w:val="24"/>
                      <w:szCs w:val="24"/>
                    </w:rPr>
                  </w:pPr>
                  <w:proofErr w:type="gramStart"/>
                  <w:r w:rsidRPr="00203A6B">
                    <w:rPr>
                      <w:sz w:val="24"/>
                      <w:szCs w:val="24"/>
                    </w:rPr>
                    <w:t xml:space="preserve">Figure </w:t>
                  </w:r>
                  <w:r w:rsidRPr="00203A6B">
                    <w:rPr>
                      <w:sz w:val="24"/>
                      <w:szCs w:val="24"/>
                    </w:rPr>
                    <w:fldChar w:fldCharType="begin"/>
                  </w:r>
                  <w:r w:rsidRPr="00203A6B">
                    <w:rPr>
                      <w:sz w:val="24"/>
                      <w:szCs w:val="24"/>
                    </w:rPr>
                    <w:instrText xml:space="preserve"> SEQ Figure \* ARABIC </w:instrText>
                  </w:r>
                  <w:r w:rsidRPr="00203A6B">
                    <w:rPr>
                      <w:sz w:val="24"/>
                      <w:szCs w:val="24"/>
                    </w:rPr>
                    <w:fldChar w:fldCharType="separate"/>
                  </w:r>
                  <w:r>
                    <w:rPr>
                      <w:noProof/>
                      <w:sz w:val="24"/>
                      <w:szCs w:val="24"/>
                    </w:rPr>
                    <w:t>1</w:t>
                  </w:r>
                  <w:r w:rsidRPr="00203A6B">
                    <w:rPr>
                      <w:sz w:val="24"/>
                      <w:szCs w:val="24"/>
                    </w:rPr>
                    <w:fldChar w:fldCharType="end"/>
                  </w:r>
                  <w:r w:rsidRPr="00203A6B">
                    <w:rPr>
                      <w:sz w:val="24"/>
                      <w:szCs w:val="24"/>
                    </w:rPr>
                    <w:t>.</w:t>
                  </w:r>
                  <w:proofErr w:type="gramEnd"/>
                  <w:r w:rsidRPr="00203A6B">
                    <w:rPr>
                      <w:sz w:val="24"/>
                      <w:szCs w:val="24"/>
                    </w:rPr>
                    <w:t xml:space="preserve">  </w:t>
                  </w:r>
                  <w:r w:rsidRPr="00C27570">
                    <w:rPr>
                      <w:sz w:val="24"/>
                      <w:szCs w:val="24"/>
                    </w:rPr>
                    <w:t>Protocol for preparation of fatty acid methyl esters</w:t>
                  </w:r>
                </w:p>
              </w:txbxContent>
            </v:textbox>
            <w10:wrap type="none"/>
            <w10:anchorlock/>
          </v:shape>
        </w:pict>
      </w:r>
    </w:p>
    <w:p w:rsidR="00E733DE" w:rsidRDefault="00E733DE" w:rsidP="00AB6FCB">
      <w:pPr>
        <w:spacing w:before="0"/>
      </w:pPr>
    </w:p>
    <w:p w:rsidR="00221805" w:rsidRPr="009E16BF" w:rsidRDefault="00AB4FDC" w:rsidP="00AB6FCB">
      <w:pPr>
        <w:spacing w:before="0"/>
      </w:pPr>
      <w:r w:rsidRPr="009E16BF">
        <w:t xml:space="preserve">NOTE: </w:t>
      </w:r>
      <w:r w:rsidR="00521D6C">
        <w:t xml:space="preserve"> Each</w:t>
      </w:r>
      <w:r w:rsidRPr="009E16BF">
        <w:t xml:space="preserve"> group will have </w:t>
      </w:r>
      <w:r w:rsidR="00521D6C">
        <w:t xml:space="preserve">one of </w:t>
      </w:r>
      <w:r w:rsidRPr="009E16BF">
        <w:t xml:space="preserve">two samples of bacteria grown in </w:t>
      </w:r>
      <w:r w:rsidR="00E03246" w:rsidRPr="00E03246">
        <w:t>Luria-</w:t>
      </w:r>
      <w:proofErr w:type="spellStart"/>
      <w:r w:rsidR="00E03246" w:rsidRPr="00E03246">
        <w:t>Bertani</w:t>
      </w:r>
      <w:proofErr w:type="spellEnd"/>
      <w:r w:rsidR="00E03246" w:rsidRPr="00E03246">
        <w:t xml:space="preserve"> </w:t>
      </w:r>
      <w:r w:rsidR="00E03246">
        <w:t>(</w:t>
      </w:r>
      <w:r w:rsidRPr="009E16BF">
        <w:t>LB</w:t>
      </w:r>
      <w:r w:rsidR="00E03246">
        <w:t>)</w:t>
      </w:r>
      <w:r w:rsidRPr="009E16BF">
        <w:t xml:space="preserve"> broth. </w:t>
      </w:r>
      <w:r w:rsidR="00E03246">
        <w:t xml:space="preserve"> </w:t>
      </w:r>
      <w:r w:rsidRPr="009E16BF">
        <w:t xml:space="preserve">One sample will be a culture of bacteria grown </w:t>
      </w:r>
      <w:r w:rsidR="00B94238" w:rsidRPr="009E16BF">
        <w:t>between</w:t>
      </w:r>
      <w:r w:rsidRPr="009E16BF">
        <w:t xml:space="preserve"> 20 </w:t>
      </w:r>
      <w:r w:rsidR="00B94238" w:rsidRPr="009E16BF">
        <w:t>and</w:t>
      </w:r>
      <w:r w:rsidRPr="009E16BF">
        <w:t xml:space="preserve"> 25</w:t>
      </w:r>
      <w:r w:rsidRPr="009E16BF">
        <w:rPr>
          <w:vertAlign w:val="superscript"/>
        </w:rPr>
        <w:t>o</w:t>
      </w:r>
      <w:r w:rsidRPr="009E16BF">
        <w:t xml:space="preserve">C.  The second sample will be a culture of the same bacteria grown at </w:t>
      </w:r>
      <w:r w:rsidR="00B94238" w:rsidRPr="009E16BF">
        <w:t>40</w:t>
      </w:r>
      <w:r w:rsidRPr="009E16BF">
        <w:rPr>
          <w:vertAlign w:val="superscript"/>
        </w:rPr>
        <w:t>o</w:t>
      </w:r>
      <w:r w:rsidRPr="009E16BF">
        <w:t xml:space="preserve">C.  </w:t>
      </w:r>
      <w:r w:rsidR="00521D6C">
        <w:t>T</w:t>
      </w:r>
      <w:r w:rsidRPr="009E16BF">
        <w:t xml:space="preserve">he following procedure </w:t>
      </w:r>
      <w:r w:rsidR="00521D6C">
        <w:t xml:space="preserve">is used </w:t>
      </w:r>
      <w:r w:rsidRPr="009E16BF">
        <w:t xml:space="preserve">with both samples.  </w:t>
      </w:r>
    </w:p>
    <w:p w:rsidR="00221805" w:rsidRPr="009E16BF" w:rsidRDefault="00AB4FDC" w:rsidP="008F76F0">
      <w:r w:rsidRPr="009E16BF">
        <w:t xml:space="preserve">Take 10 mL of a </w:t>
      </w:r>
      <w:r w:rsidR="00B94238" w:rsidRPr="009E16BF">
        <w:t xml:space="preserve">solution of </w:t>
      </w:r>
      <w:r w:rsidRPr="009E16BF">
        <w:t>suspended cells and centrifuge in a 1</w:t>
      </w:r>
      <w:r w:rsidR="004E1DD1">
        <w:t>5</w:t>
      </w:r>
      <w:r w:rsidRPr="009E16BF">
        <w:t xml:space="preserve"> mL polypropylene centrifuge tube at </w:t>
      </w:r>
      <w:r w:rsidR="006F0E44">
        <w:t>4</w:t>
      </w:r>
      <w:r w:rsidRPr="009E16BF">
        <w:t xml:space="preserve">,000 rpm for </w:t>
      </w:r>
      <w:r w:rsidR="006F0E44">
        <w:t>15</w:t>
      </w:r>
      <w:r w:rsidRPr="009E16BF">
        <w:t xml:space="preserve"> minutes; discard the supernatant</w:t>
      </w:r>
      <w:r w:rsidR="00466970">
        <w:t xml:space="preserve"> (the more that is removed, the better the yield of FAMEs will be)</w:t>
      </w:r>
      <w:r w:rsidRPr="009E16BF">
        <w:t>.</w:t>
      </w:r>
    </w:p>
    <w:p w:rsidR="00466970" w:rsidRDefault="00AB4FDC" w:rsidP="00466970">
      <w:pPr>
        <w:rPr>
          <w:rFonts w:ascii="Calibri" w:hAnsi="Calibri" w:cs="Calibri"/>
        </w:rPr>
      </w:pPr>
      <w:r w:rsidRPr="009E16BF">
        <w:t xml:space="preserve">Re-suspend the pellet </w:t>
      </w:r>
      <w:r w:rsidR="00466970">
        <w:t xml:space="preserve">in </w:t>
      </w:r>
      <w:r w:rsidRPr="009E16BF">
        <w:t>methanol-toluene (4:1 v/v) (~2.5 mL total, 2 “squirts” wit</w:t>
      </w:r>
      <w:r w:rsidR="00160045">
        <w:t>h a Pasteur pipette)</w:t>
      </w:r>
      <w:r w:rsidRPr="009E16BF">
        <w:t xml:space="preserve">.  </w:t>
      </w:r>
      <w:r w:rsidR="00466970">
        <w:t>U</w:t>
      </w:r>
      <w:r w:rsidR="00466970">
        <w:rPr>
          <w:rFonts w:ascii="Calibri" w:hAnsi="Calibri" w:cs="Calibri"/>
        </w:rPr>
        <w:t xml:space="preserve">sing an </w:t>
      </w:r>
      <w:proofErr w:type="spellStart"/>
      <w:r w:rsidR="00466970">
        <w:rPr>
          <w:rFonts w:ascii="Calibri" w:hAnsi="Calibri" w:cs="Calibri"/>
        </w:rPr>
        <w:t>autopipet</w:t>
      </w:r>
      <w:proofErr w:type="spellEnd"/>
      <w:r w:rsidR="00466970">
        <w:rPr>
          <w:rFonts w:ascii="Calibri" w:hAnsi="Calibri" w:cs="Calibri"/>
        </w:rPr>
        <w:t>, a</w:t>
      </w:r>
      <w:r w:rsidR="00466970" w:rsidRPr="009E16BF">
        <w:t xml:space="preserve">dd 200 </w:t>
      </w:r>
      <w:r w:rsidR="00466970" w:rsidRPr="00E03246">
        <w:rPr>
          <w:rFonts w:ascii="Symbol" w:hAnsi="Symbol" w:cs="Calibri"/>
        </w:rPr>
        <w:t></w:t>
      </w:r>
      <w:r w:rsidR="00466970">
        <w:rPr>
          <w:rFonts w:ascii="Calibri" w:hAnsi="Calibri" w:cs="Calibri"/>
        </w:rPr>
        <w:t>L of acetyl chloride a drop at a time, swirling between additions.</w:t>
      </w:r>
    </w:p>
    <w:p w:rsidR="00466970" w:rsidRPr="00FB7F39" w:rsidRDefault="00466970" w:rsidP="00466970">
      <w:pPr>
        <w:pStyle w:val="BodyTextIndent"/>
        <w:ind w:left="950" w:firstLine="0"/>
      </w:pPr>
      <w:r>
        <w:t>When acetyl chloride reacts with alcohol or water, it produces so much heat that it sizzles when it hits the surface of the liquid.  Therefore, add this cautiously a drop at a time.</w:t>
      </w:r>
    </w:p>
    <w:p w:rsidR="00466970" w:rsidRPr="009E16BF" w:rsidRDefault="00466970" w:rsidP="00466970">
      <w:pPr>
        <w:pStyle w:val="BodyTextIndent"/>
        <w:ind w:left="950" w:firstLine="0"/>
      </w:pPr>
      <w:r>
        <w:lastRenderedPageBreak/>
        <w:t>T</w:t>
      </w:r>
      <w:r w:rsidRPr="009E16BF">
        <w:t xml:space="preserve">he acetyl chloride is a catalyst for the “transesterification” reaction that will produce fatty acids directly from the membrane lipids.  The methanol </w:t>
      </w:r>
      <w:r>
        <w:t>provides</w:t>
      </w:r>
      <w:r w:rsidRPr="009E16BF">
        <w:t xml:space="preserve"> the methyl group for the formation of the methyl esters.</w:t>
      </w:r>
    </w:p>
    <w:p w:rsidR="00466970" w:rsidRDefault="00466970" w:rsidP="008F76F0">
      <w:r>
        <w:t>With a plastic disposable pipet t</w:t>
      </w:r>
      <w:r w:rsidR="006F0E44">
        <w:t xml:space="preserve">ransfer </w:t>
      </w:r>
      <w:r>
        <w:t>all of the solution to a screw-</w:t>
      </w:r>
      <w:r w:rsidRPr="009E16BF">
        <w:t xml:space="preserve">cap </w:t>
      </w:r>
      <w:r>
        <w:t>glass sample vial.  (The plastic centrifuge tubes do not seal tightly enough to hold the volatile methanol-toluene mixture at 100°C.)</w:t>
      </w:r>
    </w:p>
    <w:p w:rsidR="00221805" w:rsidRPr="009E16BF" w:rsidRDefault="00466970" w:rsidP="008F76F0">
      <w:r>
        <w:t xml:space="preserve"> </w:t>
      </w:r>
      <w:r w:rsidR="00AB4FDC" w:rsidRPr="009E16BF">
        <w:t>Add a small magnetic stirring bar</w:t>
      </w:r>
      <w:r w:rsidR="00AB4FDC" w:rsidRPr="009E16BF">
        <w:rPr>
          <w:rFonts w:ascii="Calibri" w:hAnsi="Calibri" w:cs="Calibri"/>
        </w:rPr>
        <w:t>.</w:t>
      </w:r>
      <w:r>
        <w:rPr>
          <w:rFonts w:ascii="Calibri" w:hAnsi="Calibri" w:cs="Calibri"/>
        </w:rPr>
        <w:t xml:space="preserve">  </w:t>
      </w:r>
      <w:r w:rsidR="00AB4FDC" w:rsidRPr="009E16BF">
        <w:t xml:space="preserve">Tightly close the </w:t>
      </w:r>
      <w:r>
        <w:t>sample vial</w:t>
      </w:r>
      <w:r w:rsidR="00AB4FDC" w:rsidRPr="009E16BF">
        <w:t xml:space="preserve">.  Place the </w:t>
      </w:r>
      <w:r>
        <w:t>vial</w:t>
      </w:r>
      <w:r w:rsidR="00AB4FDC" w:rsidRPr="009E16BF">
        <w:t xml:space="preserve"> in a boiling water bath on a magnetic stirrer-heater and </w:t>
      </w:r>
      <w:r>
        <w:t xml:space="preserve">let it </w:t>
      </w:r>
      <w:r w:rsidR="00AB4FDC" w:rsidRPr="009E16BF">
        <w:t xml:space="preserve">react for </w:t>
      </w:r>
      <w:r>
        <w:t>60 minutes</w:t>
      </w:r>
      <w:r w:rsidR="00AB4FDC" w:rsidRPr="009E16BF">
        <w:t xml:space="preserve">.  </w:t>
      </w:r>
      <w:r w:rsidR="00521D6C">
        <w:t>(</w:t>
      </w:r>
      <w:r w:rsidR="00AB4FDC" w:rsidRPr="009E16BF">
        <w:t>The magnet will stir when the tube is suspended in the water bath.</w:t>
      </w:r>
      <w:r w:rsidR="00521D6C">
        <w:t>)</w:t>
      </w:r>
      <w:r w:rsidR="00AB4FDC" w:rsidRPr="009E16BF">
        <w:t xml:space="preserve"> </w:t>
      </w:r>
      <w:r w:rsidR="00AB4FDC" w:rsidRPr="009E16BF">
        <w:rPr>
          <w:b/>
        </w:rPr>
        <w:t xml:space="preserve"> Do Not</w:t>
      </w:r>
      <w:r w:rsidR="00AB4FDC" w:rsidRPr="009E16BF">
        <w:t xml:space="preserve"> put the tube directly on the bottom of the beaker containing your water bath - the temperature in contact with the bottom of the beaker is higher than 100</w:t>
      </w:r>
      <w:r w:rsidR="00AB4FDC" w:rsidRPr="009E16BF">
        <w:rPr>
          <w:vertAlign w:val="superscript"/>
        </w:rPr>
        <w:t>o</w:t>
      </w:r>
      <w:r w:rsidR="00AB4FDC" w:rsidRPr="009E16BF">
        <w:t xml:space="preserve">C and </w:t>
      </w:r>
      <w:r w:rsidR="004E1DD1">
        <w:t xml:space="preserve">the solvent </w:t>
      </w:r>
      <w:r w:rsidR="00AB4FDC" w:rsidRPr="009E16BF">
        <w:t>will vaporize.</w:t>
      </w:r>
    </w:p>
    <w:p w:rsidR="008E7497" w:rsidRDefault="00AB4FDC" w:rsidP="008F76F0">
      <w:r w:rsidRPr="009E16BF">
        <w:t>Cool the tube in water</w:t>
      </w:r>
      <w:r w:rsidR="008E7497">
        <w:t xml:space="preserve">, </w:t>
      </w:r>
      <w:proofErr w:type="gramStart"/>
      <w:r w:rsidR="008E7497">
        <w:t>then</w:t>
      </w:r>
      <w:proofErr w:type="gramEnd"/>
      <w:r w:rsidR="008E7497">
        <w:t xml:space="preserve"> transfer the solution back into the centrifuge tube.  A</w:t>
      </w:r>
      <w:r w:rsidRPr="009E16BF">
        <w:t>dd 5 mL of 6% Na</w:t>
      </w:r>
      <w:r w:rsidRPr="009E16BF">
        <w:rPr>
          <w:vertAlign w:val="subscript"/>
        </w:rPr>
        <w:t>2</w:t>
      </w:r>
      <w:r w:rsidRPr="009E16BF">
        <w:t>CO</w:t>
      </w:r>
      <w:r w:rsidRPr="009E16BF">
        <w:rPr>
          <w:vertAlign w:val="subscript"/>
        </w:rPr>
        <w:t>3</w:t>
      </w:r>
      <w:r w:rsidRPr="009E16BF">
        <w:t xml:space="preserve"> solution slowly to the contents of the tube.</w:t>
      </w:r>
      <w:r w:rsidR="008E7497">
        <w:t xml:space="preserve">  Swirl to mix; some CO</w:t>
      </w:r>
      <w:r w:rsidR="008E7497" w:rsidRPr="008E7497">
        <w:rPr>
          <w:vertAlign w:val="subscript"/>
        </w:rPr>
        <w:t>2</w:t>
      </w:r>
      <w:r w:rsidR="008E7497">
        <w:t xml:space="preserve"> is expected to be released.  Then put the lid on and shake to thoroughly mix the contents.</w:t>
      </w:r>
      <w:r w:rsidRPr="009E16BF">
        <w:t xml:space="preserve"> </w:t>
      </w:r>
    </w:p>
    <w:p w:rsidR="00221805" w:rsidRPr="009E16BF" w:rsidRDefault="008E7497" w:rsidP="008F76F0">
      <w:r>
        <w:t>Next, extract the fatty acids from the aqueous solution into the toluene.  To do this, a</w:t>
      </w:r>
      <w:r w:rsidR="00AB4FDC" w:rsidRPr="009E16BF">
        <w:t>dd 1 mL of toluene</w:t>
      </w:r>
      <w:r>
        <w:t xml:space="preserve">, cap the tube tightly, and shake the tube vigorously.  </w:t>
      </w:r>
      <w:r w:rsidR="00AB4FDC" w:rsidRPr="009E16BF">
        <w:t xml:space="preserve">Balance against another tube and centrifuge for </w:t>
      </w:r>
      <w:r>
        <w:t>5</w:t>
      </w:r>
      <w:r w:rsidR="00AB4FDC" w:rsidRPr="009E16BF">
        <w:t xml:space="preserve"> min at </w:t>
      </w:r>
      <w:r>
        <w:t>4</w:t>
      </w:r>
      <w:r w:rsidR="00AB4FDC" w:rsidRPr="009E16BF">
        <w:t>000 rpm</w:t>
      </w:r>
      <w:r w:rsidR="008D0724">
        <w:t xml:space="preserve"> in the large centrifuge</w:t>
      </w:r>
      <w:r w:rsidR="00AB4FDC" w:rsidRPr="009E16BF">
        <w:t xml:space="preserve">.  </w:t>
      </w:r>
    </w:p>
    <w:p w:rsidR="00221805" w:rsidRPr="000D2D44" w:rsidRDefault="0062616A" w:rsidP="008F76F0">
      <w:r>
        <w:t>The</w:t>
      </w:r>
      <w:r w:rsidRPr="0062616A">
        <w:t xml:space="preserve"> </w:t>
      </w:r>
      <w:r w:rsidRPr="009E16BF">
        <w:t>upper toluene</w:t>
      </w:r>
      <w:r>
        <w:t xml:space="preserve"> layer</w:t>
      </w:r>
      <w:r w:rsidRPr="009E16BF">
        <w:t xml:space="preserve"> will contain the derivatized fatty acids from the membrane.  </w:t>
      </w:r>
      <w:r w:rsidR="008E7497">
        <w:t>U</w:t>
      </w:r>
      <w:r>
        <w:t xml:space="preserve">sing </w:t>
      </w:r>
      <w:r w:rsidRPr="009E16BF">
        <w:t>a Pasteur pipette</w:t>
      </w:r>
      <w:r>
        <w:t xml:space="preserve">, </w:t>
      </w:r>
      <w:r w:rsidR="008E7497">
        <w:t>transfer most</w:t>
      </w:r>
      <w:r w:rsidRPr="009E16BF">
        <w:t xml:space="preserve"> </w:t>
      </w:r>
      <w:r>
        <w:t xml:space="preserve">of this layer </w:t>
      </w:r>
      <w:r w:rsidRPr="009E16BF">
        <w:t xml:space="preserve">to </w:t>
      </w:r>
      <w:r>
        <w:t>one of the</w:t>
      </w:r>
      <w:r w:rsidRPr="009E16BF">
        <w:t xml:space="preserve"> small </w:t>
      </w:r>
      <w:r>
        <w:t xml:space="preserve">sample </w:t>
      </w:r>
      <w:r w:rsidRPr="009E16BF">
        <w:t>vial</w:t>
      </w:r>
      <w:r>
        <w:t xml:space="preserve">s for the GC-MS </w:t>
      </w:r>
      <w:proofErr w:type="spellStart"/>
      <w:r>
        <w:t>autosampler</w:t>
      </w:r>
      <w:proofErr w:type="spellEnd"/>
      <w:r w:rsidR="00AB4FDC" w:rsidRPr="009E16BF">
        <w:t xml:space="preserve">.  </w:t>
      </w:r>
      <w:r w:rsidR="000D2D44">
        <w:t xml:space="preserve">Label the vial with the initials of those in your group, and the temperature at which the </w:t>
      </w:r>
      <w:r w:rsidR="000D2D44">
        <w:rPr>
          <w:i/>
        </w:rPr>
        <w:t>E. coli</w:t>
      </w:r>
      <w:r w:rsidR="000D2D44">
        <w:t xml:space="preserve"> was grown, either RT or 40°C.</w:t>
      </w:r>
    </w:p>
    <w:p w:rsidR="004D154E" w:rsidRPr="00E733DE" w:rsidRDefault="004D154E" w:rsidP="00E733DE">
      <w:pPr>
        <w:pStyle w:val="Heading2"/>
      </w:pPr>
      <w:r w:rsidRPr="00E733DE">
        <w:t xml:space="preserve">GC-MS </w:t>
      </w:r>
      <w:r w:rsidR="000D2D44">
        <w:t xml:space="preserve">Report </w:t>
      </w:r>
      <w:r w:rsidRPr="00E733DE">
        <w:t>(</w:t>
      </w:r>
      <w:r w:rsidR="000D2D44">
        <w:t xml:space="preserve">Provided </w:t>
      </w:r>
      <w:r w:rsidR="00210428" w:rsidRPr="00E733DE">
        <w:t xml:space="preserve">next </w:t>
      </w:r>
      <w:r w:rsidRPr="00E733DE">
        <w:t>lab period)</w:t>
      </w:r>
    </w:p>
    <w:p w:rsidR="00221805" w:rsidRPr="009E16BF" w:rsidRDefault="00210428" w:rsidP="008F76F0">
      <w:r>
        <w:t xml:space="preserve">The toluene layer will be </w:t>
      </w:r>
      <w:r w:rsidR="00D66E30">
        <w:t>analyzed by GC-MS</w:t>
      </w:r>
      <w:r w:rsidR="00E733DE">
        <w:t>, and a report will be printed out</w:t>
      </w:r>
      <w:r w:rsidR="00AB4FDC" w:rsidRPr="009E16BF">
        <w:t>.</w:t>
      </w:r>
      <w:r w:rsidR="00E733DE">
        <w:t xml:space="preserve">  </w:t>
      </w:r>
      <w:r w:rsidR="00AB4FDC" w:rsidRPr="009E16BF">
        <w:t xml:space="preserve">The </w:t>
      </w:r>
      <w:r w:rsidR="00E733DE">
        <w:t xml:space="preserve">report </w:t>
      </w:r>
      <w:r>
        <w:t xml:space="preserve">starts with </w:t>
      </w:r>
      <w:r w:rsidR="00AB4FDC" w:rsidRPr="009E16BF">
        <w:t xml:space="preserve">the GC </w:t>
      </w:r>
      <w:r w:rsidR="00D66E30">
        <w:t>chromatogram</w:t>
      </w:r>
      <w:r w:rsidR="00AB4FDC" w:rsidRPr="009E16BF">
        <w:t xml:space="preserve"> for the sample</w:t>
      </w:r>
      <w:r>
        <w:t xml:space="preserve">, </w:t>
      </w:r>
      <w:r w:rsidR="00AB4FDC" w:rsidRPr="009E16BF">
        <w:t>Figure 2</w:t>
      </w:r>
      <w:r>
        <w:t>.  Following this (not shown)</w:t>
      </w:r>
      <w:r w:rsidR="00AB4FDC" w:rsidRPr="009E16BF">
        <w:t xml:space="preserve"> is a list of </w:t>
      </w:r>
      <w:r w:rsidR="00E733DE">
        <w:t>each</w:t>
      </w:r>
      <w:r w:rsidR="00AB4FDC" w:rsidRPr="009E16BF">
        <w:t xml:space="preserve"> peak</w:t>
      </w:r>
      <w:r w:rsidR="00E733DE">
        <w:t>’</w:t>
      </w:r>
      <w:r w:rsidR="00AB4FDC" w:rsidRPr="009E16BF">
        <w:t>s</w:t>
      </w:r>
      <w:r w:rsidR="00E733DE">
        <w:t xml:space="preserve">, </w:t>
      </w:r>
      <w:r w:rsidR="00AB4FDC" w:rsidRPr="009E16BF">
        <w:t xml:space="preserve">retention time and </w:t>
      </w:r>
      <w:r w:rsidR="00E733DE">
        <w:t>area.</w:t>
      </w:r>
      <w:r w:rsidR="00AB4FDC" w:rsidRPr="009E16BF">
        <w:t xml:space="preserve">  </w:t>
      </w:r>
      <w:r w:rsidR="00E733DE">
        <w:t>The list is limited to no more than the 20 largest peaks.</w:t>
      </w:r>
      <w:r w:rsidR="00AB4FDC" w:rsidRPr="009E16BF">
        <w:t xml:space="preserve">  Notice the excellent resolution that is obtained - even peaks with only slight variations in chemical structure are well resolved.  </w:t>
      </w:r>
      <w:r w:rsidR="00E733DE">
        <w:t xml:space="preserve">Some of the peaks </w:t>
      </w:r>
      <w:r w:rsidR="00AB4FDC" w:rsidRPr="009E16BF">
        <w:t>correspond to specific fatty acid methyl ester</w:t>
      </w:r>
      <w:r w:rsidR="00E733DE">
        <w:t>s; others are other materials that were in the sample, which can probably be ignored.</w:t>
      </w:r>
      <w:r w:rsidR="00AB4FDC" w:rsidRPr="009E16BF">
        <w:t xml:space="preserve"> </w:t>
      </w:r>
    </w:p>
    <w:p w:rsidR="00C27570" w:rsidRDefault="00C27570" w:rsidP="00E155F8">
      <w:pPr>
        <w:ind w:firstLine="0"/>
        <w:rPr>
          <w:snapToGrid w:val="0"/>
          <w:color w:val="000000"/>
        </w:rPr>
      </w:pPr>
      <w:r w:rsidRPr="004F650E">
        <w:rPr>
          <w:snapToGrid w:val="0"/>
          <w:color w:val="000000"/>
        </w:rPr>
        <w:object w:dxaOrig="9420" w:dyaOrig="5080">
          <v:shape id="_x0000_i1027" type="#_x0000_t75" style="width:384pt;height:212.25pt" o:ole="" fillcolor="window">
            <v:imagedata r:id="rId8" o:title="" cropright="1670f"/>
          </v:shape>
          <o:OLEObject Type="Embed" ProgID="Word.Picture.8" ShapeID="_x0000_i1027" DrawAspect="Content" ObjectID="_1445931803" r:id="rId9"/>
        </w:object>
      </w:r>
      <w:r w:rsidR="00F1598E">
        <w:rPr>
          <w:snapToGrid w:val="0"/>
          <w:color w:val="000000"/>
        </w:rPr>
        <w:tab/>
      </w:r>
    </w:p>
    <w:p w:rsidR="00221805" w:rsidRPr="00D84579" w:rsidRDefault="00AB4FDC" w:rsidP="00E155F8">
      <w:pPr>
        <w:ind w:firstLine="0"/>
        <w:rPr>
          <w:rStyle w:val="Heading3Char"/>
        </w:rPr>
      </w:pPr>
      <w:r w:rsidRPr="00D84579">
        <w:rPr>
          <w:rStyle w:val="Heading3Char"/>
        </w:rPr>
        <w:t>Figure 2</w:t>
      </w:r>
      <w:r w:rsidR="00F1598E">
        <w:rPr>
          <w:rStyle w:val="Heading3Char"/>
        </w:rPr>
        <w:t xml:space="preserve">. </w:t>
      </w:r>
      <w:r w:rsidRPr="00D84579">
        <w:rPr>
          <w:rStyle w:val="Heading3Char"/>
        </w:rPr>
        <w:t xml:space="preserve"> GC </w:t>
      </w:r>
      <w:r w:rsidR="00C27570">
        <w:rPr>
          <w:rStyle w:val="Heading3Char"/>
        </w:rPr>
        <w:t xml:space="preserve">chromatogram of </w:t>
      </w:r>
      <w:r w:rsidR="00C27570" w:rsidRPr="00C27570">
        <w:rPr>
          <w:rStyle w:val="Heading3Char"/>
          <w:i/>
        </w:rPr>
        <w:t>E. coli</w:t>
      </w:r>
      <w:r w:rsidR="00C27570">
        <w:rPr>
          <w:rStyle w:val="Heading3Char"/>
        </w:rPr>
        <w:t xml:space="preserve"> membrane FAMEs</w:t>
      </w:r>
    </w:p>
    <w:p w:rsidR="00221805" w:rsidRPr="009E16BF" w:rsidRDefault="00E733DE" w:rsidP="00E733DE">
      <w:pPr>
        <w:pStyle w:val="BodyTextIndent"/>
        <w:ind w:firstLine="475"/>
      </w:pPr>
      <w:r>
        <w:t xml:space="preserve">The report also includes </w:t>
      </w:r>
      <w:r w:rsidR="00D75869">
        <w:t>the mass spectrum</w:t>
      </w:r>
      <w:r w:rsidR="00AB4FDC" w:rsidRPr="009E16BF">
        <w:t xml:space="preserve"> for each </w:t>
      </w:r>
      <w:r w:rsidR="00D75869">
        <w:t>peak</w:t>
      </w:r>
      <w:r>
        <w:t xml:space="preserve">, and the </w:t>
      </w:r>
      <w:r w:rsidR="00AB4FDC" w:rsidRPr="009E16BF">
        <w:t xml:space="preserve">mass spectrum from the computer’s library that </w:t>
      </w:r>
      <w:r>
        <w:t>best match</w:t>
      </w:r>
      <w:r w:rsidR="00D75869">
        <w:t>e</w:t>
      </w:r>
      <w:r>
        <w:t>s that peak</w:t>
      </w:r>
      <w:r w:rsidR="00AB4FDC" w:rsidRPr="009E16BF">
        <w:t>.  The upper trace will be the experimental mass spec and the lower trace will be the library’s best match</w:t>
      </w:r>
      <w:r w:rsidR="00D75869">
        <w:t>, including a picture of the structure</w:t>
      </w:r>
      <w:r w:rsidR="00AB4FDC" w:rsidRPr="009E16BF">
        <w:t xml:space="preserve">.  Figures 3A and 3B show you the mass spectra of two slightly different methyl esters that are found in the membranes of </w:t>
      </w:r>
      <w:proofErr w:type="spellStart"/>
      <w:r w:rsidR="00AB4FDC" w:rsidRPr="009E16BF">
        <w:rPr>
          <w:i/>
        </w:rPr>
        <w:t>E.coli</w:t>
      </w:r>
      <w:proofErr w:type="spellEnd"/>
      <w:r w:rsidR="00AB4FDC" w:rsidRPr="009E16BF">
        <w:t xml:space="preserve">.    </w:t>
      </w:r>
    </w:p>
    <w:p w:rsidR="00221805" w:rsidRPr="009E16BF" w:rsidRDefault="00EE2E86" w:rsidP="00D66E30">
      <w:pPr>
        <w:ind w:firstLine="0"/>
      </w:pPr>
      <w:r w:rsidRPr="009E16BF">
        <w:rPr>
          <w:noProof/>
          <w:lang w:bidi="ar-SA"/>
        </w:rPr>
        <w:drawing>
          <wp:inline distT="0" distB="0" distL="0" distR="0" wp14:anchorId="25F0BB7D" wp14:editId="1F556D19">
            <wp:extent cx="5930552" cy="2771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30552" cy="2771775"/>
                    </a:xfrm>
                    <a:prstGeom prst="rect">
                      <a:avLst/>
                    </a:prstGeom>
                    <a:noFill/>
                    <a:ln w="9525">
                      <a:noFill/>
                      <a:miter lim="800000"/>
                      <a:headEnd/>
                      <a:tailEnd/>
                    </a:ln>
                  </pic:spPr>
                </pic:pic>
              </a:graphicData>
            </a:graphic>
          </wp:inline>
        </w:drawing>
      </w:r>
    </w:p>
    <w:p w:rsidR="00F1598E" w:rsidRPr="009E16BF" w:rsidRDefault="00F1598E" w:rsidP="00F1598E">
      <w:pPr>
        <w:pStyle w:val="Heading3"/>
        <w:spacing w:before="0"/>
      </w:pPr>
      <w:r>
        <w:lastRenderedPageBreak/>
        <w:t>Figure 3A</w:t>
      </w:r>
    </w:p>
    <w:p w:rsidR="00221805" w:rsidRPr="009E16BF" w:rsidRDefault="00EE2E86" w:rsidP="00D66E30">
      <w:pPr>
        <w:ind w:firstLine="0"/>
      </w:pPr>
      <w:r w:rsidRPr="009E16BF">
        <w:rPr>
          <w:noProof/>
          <w:lang w:bidi="ar-SA"/>
        </w:rPr>
        <w:drawing>
          <wp:inline distT="0" distB="0" distL="0" distR="0" wp14:anchorId="2B4724E3" wp14:editId="635ED2E8">
            <wp:extent cx="5934075" cy="277342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934075" cy="2773421"/>
                    </a:xfrm>
                    <a:prstGeom prst="rect">
                      <a:avLst/>
                    </a:prstGeom>
                    <a:noFill/>
                    <a:ln w="9525">
                      <a:noFill/>
                      <a:miter lim="800000"/>
                      <a:headEnd/>
                      <a:tailEnd/>
                    </a:ln>
                  </pic:spPr>
                </pic:pic>
              </a:graphicData>
            </a:graphic>
          </wp:inline>
        </w:drawing>
      </w:r>
    </w:p>
    <w:p w:rsidR="00F1598E" w:rsidRPr="009E16BF" w:rsidRDefault="00F1598E" w:rsidP="00F1598E">
      <w:pPr>
        <w:pStyle w:val="Heading3"/>
        <w:spacing w:before="0"/>
      </w:pPr>
      <w:r w:rsidRPr="009E16BF">
        <w:t>Figure 3B</w:t>
      </w:r>
    </w:p>
    <w:p w:rsidR="00D75869" w:rsidRDefault="00D75869" w:rsidP="00D75869">
      <w:pPr>
        <w:pStyle w:val="BodyTextIndent"/>
        <w:ind w:firstLine="0"/>
      </w:pPr>
      <w:r>
        <w:t xml:space="preserve">The “Best match” entry includes a “similarity index”, such as 97/100, which is a measure of how good the fit is.  Any fit below </w:t>
      </w:r>
      <w:r w:rsidR="00267D02">
        <w:t>85</w:t>
      </w:r>
      <w:r>
        <w:t xml:space="preserve">% is </w:t>
      </w:r>
      <w:r w:rsidR="00267D02">
        <w:t xml:space="preserve">likely </w:t>
      </w:r>
      <w:r>
        <w:t>an incorrect match.</w:t>
      </w:r>
    </w:p>
    <w:p w:rsidR="00221805" w:rsidRPr="009E16BF" w:rsidRDefault="00AB4FDC" w:rsidP="00D75869">
      <w:pPr>
        <w:pStyle w:val="BodyTextIndent"/>
        <w:ind w:firstLine="0"/>
      </w:pPr>
      <w:r w:rsidRPr="009E16BF">
        <w:t>Area % designates the percentage of this individual substance as a part of all the components that were separated by the GC.  Use this information for tabulating the saturated and unsaturated FAMEs.</w:t>
      </w:r>
    </w:p>
    <w:p w:rsidR="00221805" w:rsidRPr="000D2D44" w:rsidRDefault="00D75869" w:rsidP="000D2D44">
      <w:pPr>
        <w:pStyle w:val="Heading1"/>
      </w:pPr>
      <w:r w:rsidRPr="000D2D44">
        <w:t>Analysis</w:t>
      </w:r>
    </w:p>
    <w:p w:rsidR="000D2D44" w:rsidRDefault="000D2D44" w:rsidP="008F76F0">
      <w:r>
        <w:t>In</w:t>
      </w:r>
      <w:r w:rsidR="00FE24D3">
        <w:t xml:space="preserve"> the</w:t>
      </w:r>
      <w:r>
        <w:t xml:space="preserve"> peak list in the GC-MS report, identify the methyl esters.  Working with a group that analyzed the </w:t>
      </w:r>
      <w:r>
        <w:rPr>
          <w:i/>
        </w:rPr>
        <w:t>E. coli</w:t>
      </w:r>
      <w:r>
        <w:t xml:space="preserve"> grown at the other temperature, prepare a table like so:</w:t>
      </w:r>
    </w:p>
    <w:tbl>
      <w:tblPr>
        <w:tblStyle w:val="TableGrid"/>
        <w:tblW w:w="0" w:type="auto"/>
        <w:tblLook w:val="04A0" w:firstRow="1" w:lastRow="0" w:firstColumn="1" w:lastColumn="0" w:noHBand="0" w:noVBand="1"/>
      </w:tblPr>
      <w:tblGrid>
        <w:gridCol w:w="4248"/>
        <w:gridCol w:w="1350"/>
        <w:gridCol w:w="1350"/>
        <w:gridCol w:w="1350"/>
        <w:gridCol w:w="1260"/>
      </w:tblGrid>
      <w:tr w:rsidR="008D454D" w:rsidTr="00FE24D3">
        <w:tc>
          <w:tcPr>
            <w:tcW w:w="4248" w:type="dxa"/>
          </w:tcPr>
          <w:p w:rsidR="008D454D" w:rsidRDefault="008D454D" w:rsidP="000D2D44">
            <w:pPr>
              <w:ind w:firstLine="0"/>
            </w:pPr>
          </w:p>
        </w:tc>
        <w:tc>
          <w:tcPr>
            <w:tcW w:w="2700" w:type="dxa"/>
            <w:gridSpan w:val="2"/>
            <w:tcBorders>
              <w:right w:val="single" w:sz="12" w:space="0" w:color="auto"/>
            </w:tcBorders>
          </w:tcPr>
          <w:p w:rsidR="008D454D" w:rsidRPr="008D454D" w:rsidRDefault="008D454D" w:rsidP="008D454D">
            <w:pPr>
              <w:ind w:firstLine="0"/>
              <w:jc w:val="center"/>
              <w:rPr>
                <w:b/>
              </w:rPr>
            </w:pPr>
            <w:r w:rsidRPr="008D454D">
              <w:rPr>
                <w:b/>
              </w:rPr>
              <w:t>RT</w:t>
            </w:r>
          </w:p>
        </w:tc>
        <w:tc>
          <w:tcPr>
            <w:tcW w:w="2610" w:type="dxa"/>
            <w:gridSpan w:val="2"/>
            <w:tcBorders>
              <w:left w:val="single" w:sz="12" w:space="0" w:color="auto"/>
            </w:tcBorders>
          </w:tcPr>
          <w:p w:rsidR="008D454D" w:rsidRPr="008D454D" w:rsidRDefault="008D454D" w:rsidP="008D454D">
            <w:pPr>
              <w:ind w:firstLine="0"/>
              <w:jc w:val="center"/>
              <w:rPr>
                <w:b/>
              </w:rPr>
            </w:pPr>
            <w:r w:rsidRPr="008D454D">
              <w:rPr>
                <w:b/>
              </w:rPr>
              <w:t>40°C</w:t>
            </w:r>
          </w:p>
        </w:tc>
      </w:tr>
      <w:tr w:rsidR="008D454D" w:rsidTr="00FE24D3">
        <w:tc>
          <w:tcPr>
            <w:tcW w:w="4248" w:type="dxa"/>
          </w:tcPr>
          <w:p w:rsidR="008D454D" w:rsidRDefault="008D454D" w:rsidP="000D2D44">
            <w:pPr>
              <w:ind w:firstLine="0"/>
            </w:pPr>
          </w:p>
        </w:tc>
        <w:tc>
          <w:tcPr>
            <w:tcW w:w="1350" w:type="dxa"/>
          </w:tcPr>
          <w:p w:rsidR="008D454D" w:rsidRDefault="008D454D" w:rsidP="00FE24D3">
            <w:pPr>
              <w:ind w:firstLine="0"/>
              <w:jc w:val="center"/>
            </w:pPr>
            <w:r>
              <w:t>Similarity Index</w:t>
            </w:r>
          </w:p>
        </w:tc>
        <w:tc>
          <w:tcPr>
            <w:tcW w:w="1350" w:type="dxa"/>
            <w:tcBorders>
              <w:right w:val="single" w:sz="12" w:space="0" w:color="auto"/>
            </w:tcBorders>
          </w:tcPr>
          <w:p w:rsidR="008D454D" w:rsidRDefault="008D454D" w:rsidP="00FE24D3">
            <w:pPr>
              <w:ind w:firstLine="0"/>
              <w:jc w:val="center"/>
            </w:pPr>
            <w:r>
              <w:t>Area %</w:t>
            </w:r>
          </w:p>
        </w:tc>
        <w:tc>
          <w:tcPr>
            <w:tcW w:w="1350" w:type="dxa"/>
            <w:tcBorders>
              <w:left w:val="single" w:sz="12" w:space="0" w:color="auto"/>
            </w:tcBorders>
          </w:tcPr>
          <w:p w:rsidR="008D454D" w:rsidRDefault="008D454D" w:rsidP="00FE24D3">
            <w:pPr>
              <w:ind w:firstLine="0"/>
              <w:jc w:val="center"/>
            </w:pPr>
            <w:r>
              <w:t>Similarity Index</w:t>
            </w:r>
          </w:p>
        </w:tc>
        <w:tc>
          <w:tcPr>
            <w:tcW w:w="1260" w:type="dxa"/>
          </w:tcPr>
          <w:p w:rsidR="008D454D" w:rsidRDefault="008D454D" w:rsidP="00FE24D3">
            <w:pPr>
              <w:ind w:firstLine="0"/>
              <w:jc w:val="center"/>
            </w:pPr>
            <w:r>
              <w:t>Area %</w:t>
            </w:r>
          </w:p>
        </w:tc>
      </w:tr>
      <w:tr w:rsidR="008D454D" w:rsidTr="00FE24D3">
        <w:tc>
          <w:tcPr>
            <w:tcW w:w="4248" w:type="dxa"/>
          </w:tcPr>
          <w:p w:rsidR="008D454D" w:rsidRPr="008D454D" w:rsidRDefault="008D454D" w:rsidP="000D2D44">
            <w:pPr>
              <w:ind w:firstLine="0"/>
              <w:rPr>
                <w:b/>
              </w:rPr>
            </w:pPr>
            <w:r w:rsidRPr="008D454D">
              <w:rPr>
                <w:b/>
              </w:rPr>
              <w:t>Saturated FAMEs</w:t>
            </w:r>
          </w:p>
        </w:tc>
        <w:tc>
          <w:tcPr>
            <w:tcW w:w="1350" w:type="dxa"/>
          </w:tcPr>
          <w:p w:rsidR="008D454D" w:rsidRDefault="008D454D" w:rsidP="000D2D44">
            <w:pPr>
              <w:ind w:firstLine="0"/>
            </w:pPr>
          </w:p>
        </w:tc>
        <w:tc>
          <w:tcPr>
            <w:tcW w:w="1350" w:type="dxa"/>
            <w:tcBorders>
              <w:right w:val="single" w:sz="12" w:space="0" w:color="auto"/>
            </w:tcBorders>
          </w:tcPr>
          <w:p w:rsidR="008D454D" w:rsidRDefault="008D454D" w:rsidP="000D2D44">
            <w:pPr>
              <w:ind w:firstLine="0"/>
            </w:pPr>
          </w:p>
        </w:tc>
        <w:tc>
          <w:tcPr>
            <w:tcW w:w="1350" w:type="dxa"/>
            <w:tcBorders>
              <w:left w:val="single" w:sz="12" w:space="0" w:color="auto"/>
            </w:tcBorders>
          </w:tcPr>
          <w:p w:rsidR="008D454D" w:rsidRDefault="008D454D" w:rsidP="000D2D44">
            <w:pPr>
              <w:ind w:firstLine="0"/>
            </w:pPr>
          </w:p>
        </w:tc>
        <w:tc>
          <w:tcPr>
            <w:tcW w:w="1260" w:type="dxa"/>
          </w:tcPr>
          <w:p w:rsidR="008D454D" w:rsidRDefault="008D454D" w:rsidP="000D2D44">
            <w:pPr>
              <w:ind w:firstLine="0"/>
            </w:pPr>
          </w:p>
        </w:tc>
      </w:tr>
      <w:tr w:rsidR="008D454D" w:rsidTr="00FE24D3">
        <w:tc>
          <w:tcPr>
            <w:tcW w:w="4248" w:type="dxa"/>
          </w:tcPr>
          <w:p w:rsidR="008D454D" w:rsidRDefault="008D454D" w:rsidP="000D2D44">
            <w:pPr>
              <w:ind w:firstLine="0"/>
            </w:pPr>
            <w:r>
              <w:t>Name of one</w:t>
            </w:r>
          </w:p>
        </w:tc>
        <w:tc>
          <w:tcPr>
            <w:tcW w:w="1350" w:type="dxa"/>
          </w:tcPr>
          <w:p w:rsidR="008D454D" w:rsidRDefault="008D454D" w:rsidP="000D2D44">
            <w:pPr>
              <w:ind w:firstLine="0"/>
            </w:pPr>
          </w:p>
        </w:tc>
        <w:tc>
          <w:tcPr>
            <w:tcW w:w="1350" w:type="dxa"/>
            <w:tcBorders>
              <w:right w:val="single" w:sz="12" w:space="0" w:color="auto"/>
            </w:tcBorders>
          </w:tcPr>
          <w:p w:rsidR="008D454D" w:rsidRDefault="008D454D" w:rsidP="000D2D44">
            <w:pPr>
              <w:ind w:firstLine="0"/>
            </w:pPr>
          </w:p>
        </w:tc>
        <w:tc>
          <w:tcPr>
            <w:tcW w:w="1350" w:type="dxa"/>
            <w:tcBorders>
              <w:left w:val="single" w:sz="12" w:space="0" w:color="auto"/>
            </w:tcBorders>
          </w:tcPr>
          <w:p w:rsidR="008D454D" w:rsidRDefault="008D454D" w:rsidP="000D2D44">
            <w:pPr>
              <w:ind w:firstLine="0"/>
            </w:pPr>
          </w:p>
        </w:tc>
        <w:tc>
          <w:tcPr>
            <w:tcW w:w="1260" w:type="dxa"/>
          </w:tcPr>
          <w:p w:rsidR="008D454D" w:rsidRDefault="008D454D" w:rsidP="000D2D44">
            <w:pPr>
              <w:ind w:firstLine="0"/>
            </w:pPr>
          </w:p>
        </w:tc>
      </w:tr>
      <w:tr w:rsidR="008D454D" w:rsidTr="00FE24D3">
        <w:tc>
          <w:tcPr>
            <w:tcW w:w="4248" w:type="dxa"/>
          </w:tcPr>
          <w:p w:rsidR="008D454D" w:rsidRDefault="008D454D" w:rsidP="000D2D44">
            <w:pPr>
              <w:ind w:firstLine="0"/>
            </w:pPr>
            <w:r>
              <w:t>Name of another</w:t>
            </w:r>
          </w:p>
        </w:tc>
        <w:tc>
          <w:tcPr>
            <w:tcW w:w="1350" w:type="dxa"/>
          </w:tcPr>
          <w:p w:rsidR="008D454D" w:rsidRDefault="008D454D" w:rsidP="000D2D44">
            <w:pPr>
              <w:ind w:firstLine="0"/>
            </w:pPr>
          </w:p>
        </w:tc>
        <w:tc>
          <w:tcPr>
            <w:tcW w:w="1350" w:type="dxa"/>
            <w:tcBorders>
              <w:right w:val="single" w:sz="12" w:space="0" w:color="auto"/>
            </w:tcBorders>
          </w:tcPr>
          <w:p w:rsidR="008D454D" w:rsidRDefault="008D454D" w:rsidP="000D2D44">
            <w:pPr>
              <w:ind w:firstLine="0"/>
            </w:pPr>
          </w:p>
        </w:tc>
        <w:tc>
          <w:tcPr>
            <w:tcW w:w="1350" w:type="dxa"/>
            <w:tcBorders>
              <w:left w:val="single" w:sz="12" w:space="0" w:color="auto"/>
            </w:tcBorders>
          </w:tcPr>
          <w:p w:rsidR="008D454D" w:rsidRDefault="008D454D" w:rsidP="000D2D44">
            <w:pPr>
              <w:ind w:firstLine="0"/>
            </w:pPr>
          </w:p>
        </w:tc>
        <w:tc>
          <w:tcPr>
            <w:tcW w:w="1260" w:type="dxa"/>
          </w:tcPr>
          <w:p w:rsidR="008D454D" w:rsidRDefault="008D454D" w:rsidP="000D2D44">
            <w:pPr>
              <w:ind w:firstLine="0"/>
            </w:pPr>
          </w:p>
        </w:tc>
      </w:tr>
      <w:tr w:rsidR="008D454D" w:rsidTr="00FE24D3">
        <w:tc>
          <w:tcPr>
            <w:tcW w:w="4248" w:type="dxa"/>
          </w:tcPr>
          <w:p w:rsidR="008D454D" w:rsidRPr="008D454D" w:rsidRDefault="008D454D" w:rsidP="000D2D44">
            <w:pPr>
              <w:ind w:firstLine="0"/>
              <w:rPr>
                <w:b/>
              </w:rPr>
            </w:pPr>
            <w:r w:rsidRPr="008D454D">
              <w:rPr>
                <w:b/>
              </w:rPr>
              <w:t>Unsaturated FAMEs</w:t>
            </w:r>
          </w:p>
        </w:tc>
        <w:tc>
          <w:tcPr>
            <w:tcW w:w="1350" w:type="dxa"/>
          </w:tcPr>
          <w:p w:rsidR="008D454D" w:rsidRDefault="008D454D" w:rsidP="000D2D44">
            <w:pPr>
              <w:ind w:firstLine="0"/>
            </w:pPr>
          </w:p>
        </w:tc>
        <w:tc>
          <w:tcPr>
            <w:tcW w:w="1350" w:type="dxa"/>
            <w:tcBorders>
              <w:right w:val="single" w:sz="12" w:space="0" w:color="auto"/>
            </w:tcBorders>
          </w:tcPr>
          <w:p w:rsidR="008D454D" w:rsidRDefault="008D454D" w:rsidP="000D2D44">
            <w:pPr>
              <w:ind w:firstLine="0"/>
            </w:pPr>
          </w:p>
        </w:tc>
        <w:tc>
          <w:tcPr>
            <w:tcW w:w="1350" w:type="dxa"/>
            <w:tcBorders>
              <w:left w:val="single" w:sz="12" w:space="0" w:color="auto"/>
            </w:tcBorders>
          </w:tcPr>
          <w:p w:rsidR="008D454D" w:rsidRDefault="008D454D" w:rsidP="000D2D44">
            <w:pPr>
              <w:ind w:firstLine="0"/>
            </w:pPr>
          </w:p>
        </w:tc>
        <w:tc>
          <w:tcPr>
            <w:tcW w:w="1260" w:type="dxa"/>
          </w:tcPr>
          <w:p w:rsidR="008D454D" w:rsidRDefault="008D454D" w:rsidP="000D2D44">
            <w:pPr>
              <w:ind w:firstLine="0"/>
            </w:pPr>
          </w:p>
        </w:tc>
      </w:tr>
      <w:tr w:rsidR="008D454D" w:rsidTr="00FE24D3">
        <w:tc>
          <w:tcPr>
            <w:tcW w:w="4248" w:type="dxa"/>
          </w:tcPr>
          <w:p w:rsidR="008D454D" w:rsidRPr="008D454D" w:rsidRDefault="008D454D" w:rsidP="000D2D44">
            <w:pPr>
              <w:ind w:firstLine="0"/>
            </w:pPr>
            <w:r w:rsidRPr="008D454D">
              <w:t>Nam</w:t>
            </w:r>
            <w:r>
              <w:t xml:space="preserve">e of </w:t>
            </w:r>
            <w:r w:rsidR="00FE24D3">
              <w:t>one</w:t>
            </w:r>
          </w:p>
        </w:tc>
        <w:tc>
          <w:tcPr>
            <w:tcW w:w="1350" w:type="dxa"/>
          </w:tcPr>
          <w:p w:rsidR="008D454D" w:rsidRDefault="008D454D" w:rsidP="000D2D44">
            <w:pPr>
              <w:ind w:firstLine="0"/>
            </w:pPr>
          </w:p>
        </w:tc>
        <w:tc>
          <w:tcPr>
            <w:tcW w:w="1350" w:type="dxa"/>
            <w:tcBorders>
              <w:right w:val="single" w:sz="12" w:space="0" w:color="auto"/>
            </w:tcBorders>
          </w:tcPr>
          <w:p w:rsidR="008D454D" w:rsidRDefault="008D454D" w:rsidP="000D2D44">
            <w:pPr>
              <w:ind w:firstLine="0"/>
            </w:pPr>
          </w:p>
        </w:tc>
        <w:tc>
          <w:tcPr>
            <w:tcW w:w="1350" w:type="dxa"/>
            <w:tcBorders>
              <w:left w:val="single" w:sz="12" w:space="0" w:color="auto"/>
            </w:tcBorders>
          </w:tcPr>
          <w:p w:rsidR="008D454D" w:rsidRDefault="008D454D" w:rsidP="000D2D44">
            <w:pPr>
              <w:ind w:firstLine="0"/>
            </w:pPr>
          </w:p>
        </w:tc>
        <w:tc>
          <w:tcPr>
            <w:tcW w:w="1260" w:type="dxa"/>
          </w:tcPr>
          <w:p w:rsidR="008D454D" w:rsidRDefault="008D454D" w:rsidP="000D2D44">
            <w:pPr>
              <w:ind w:firstLine="0"/>
            </w:pPr>
          </w:p>
        </w:tc>
      </w:tr>
      <w:tr w:rsidR="00FE24D3" w:rsidTr="00FE24D3">
        <w:tc>
          <w:tcPr>
            <w:tcW w:w="4248" w:type="dxa"/>
          </w:tcPr>
          <w:p w:rsidR="00FE24D3" w:rsidRPr="008D454D" w:rsidRDefault="00FE24D3" w:rsidP="000D2D44">
            <w:pPr>
              <w:ind w:firstLine="0"/>
            </w:pPr>
            <w:r>
              <w:t>Name of another</w:t>
            </w:r>
          </w:p>
        </w:tc>
        <w:tc>
          <w:tcPr>
            <w:tcW w:w="1350" w:type="dxa"/>
          </w:tcPr>
          <w:p w:rsidR="00FE24D3" w:rsidRDefault="00FE24D3" w:rsidP="000D2D44">
            <w:pPr>
              <w:ind w:firstLine="0"/>
            </w:pPr>
          </w:p>
        </w:tc>
        <w:tc>
          <w:tcPr>
            <w:tcW w:w="1350" w:type="dxa"/>
            <w:tcBorders>
              <w:right w:val="single" w:sz="12" w:space="0" w:color="auto"/>
            </w:tcBorders>
          </w:tcPr>
          <w:p w:rsidR="00FE24D3" w:rsidRDefault="00FE24D3" w:rsidP="000D2D44">
            <w:pPr>
              <w:ind w:firstLine="0"/>
            </w:pPr>
          </w:p>
        </w:tc>
        <w:tc>
          <w:tcPr>
            <w:tcW w:w="1350" w:type="dxa"/>
            <w:tcBorders>
              <w:left w:val="single" w:sz="12" w:space="0" w:color="auto"/>
            </w:tcBorders>
          </w:tcPr>
          <w:p w:rsidR="00FE24D3" w:rsidRDefault="00FE24D3" w:rsidP="000D2D44">
            <w:pPr>
              <w:ind w:firstLine="0"/>
            </w:pPr>
          </w:p>
        </w:tc>
        <w:tc>
          <w:tcPr>
            <w:tcW w:w="1260" w:type="dxa"/>
          </w:tcPr>
          <w:p w:rsidR="00FE24D3" w:rsidRDefault="00FE24D3" w:rsidP="000D2D44">
            <w:pPr>
              <w:ind w:firstLine="0"/>
            </w:pPr>
          </w:p>
        </w:tc>
      </w:tr>
      <w:tr w:rsidR="00FE24D3" w:rsidTr="00FE24D3">
        <w:tc>
          <w:tcPr>
            <w:tcW w:w="4248" w:type="dxa"/>
          </w:tcPr>
          <w:p w:rsidR="00FE24D3" w:rsidRDefault="00FE24D3" w:rsidP="000D2D44">
            <w:pPr>
              <w:ind w:firstLine="0"/>
            </w:pPr>
            <w:r>
              <w:t>(list all that are present)</w:t>
            </w:r>
          </w:p>
        </w:tc>
        <w:tc>
          <w:tcPr>
            <w:tcW w:w="1350" w:type="dxa"/>
          </w:tcPr>
          <w:p w:rsidR="00FE24D3" w:rsidRDefault="00FE24D3" w:rsidP="000D2D44">
            <w:pPr>
              <w:ind w:firstLine="0"/>
            </w:pPr>
          </w:p>
        </w:tc>
        <w:tc>
          <w:tcPr>
            <w:tcW w:w="1350" w:type="dxa"/>
            <w:tcBorders>
              <w:right w:val="single" w:sz="12" w:space="0" w:color="auto"/>
            </w:tcBorders>
          </w:tcPr>
          <w:p w:rsidR="00FE24D3" w:rsidRDefault="00FE24D3" w:rsidP="000D2D44">
            <w:pPr>
              <w:ind w:firstLine="0"/>
            </w:pPr>
          </w:p>
        </w:tc>
        <w:tc>
          <w:tcPr>
            <w:tcW w:w="1350" w:type="dxa"/>
            <w:tcBorders>
              <w:left w:val="single" w:sz="12" w:space="0" w:color="auto"/>
            </w:tcBorders>
          </w:tcPr>
          <w:p w:rsidR="00FE24D3" w:rsidRDefault="00FE24D3" w:rsidP="000D2D44">
            <w:pPr>
              <w:ind w:firstLine="0"/>
            </w:pPr>
          </w:p>
        </w:tc>
        <w:tc>
          <w:tcPr>
            <w:tcW w:w="1260" w:type="dxa"/>
          </w:tcPr>
          <w:p w:rsidR="00FE24D3" w:rsidRDefault="00FE24D3" w:rsidP="000D2D44">
            <w:pPr>
              <w:ind w:firstLine="0"/>
            </w:pPr>
          </w:p>
        </w:tc>
      </w:tr>
    </w:tbl>
    <w:p w:rsidR="00221805" w:rsidRPr="009E16BF" w:rsidRDefault="00FE24D3" w:rsidP="008F76F0">
      <w:r>
        <w:t xml:space="preserve">Write a paragraph discussing how the results are consistent (or not) </w:t>
      </w:r>
      <w:r>
        <w:t xml:space="preserve">with </w:t>
      </w:r>
      <w:r>
        <w:t xml:space="preserve">the expected results.  Note:  at higher temperatures, some cyclopropane rings may be present; comment on </w:t>
      </w:r>
      <w:r>
        <w:lastRenderedPageBreak/>
        <w:t xml:space="preserve">that, if observed.  </w:t>
      </w:r>
      <w:r w:rsidR="00AB4FDC" w:rsidRPr="009E16BF">
        <w:t xml:space="preserve">Are there different fatty acids present in the two samples?  Do the amounts </w:t>
      </w:r>
      <w:r w:rsidR="00D75869">
        <w:t>(</w:t>
      </w:r>
      <w:proofErr w:type="gramStart"/>
      <w:r w:rsidR="00D75869">
        <w:t>Area%</w:t>
      </w:r>
      <w:proofErr w:type="gramEnd"/>
      <w:r w:rsidR="00D75869">
        <w:t xml:space="preserve">) </w:t>
      </w:r>
      <w:r w:rsidR="00AB4FDC" w:rsidRPr="009E16BF">
        <w:t>of those fatty acids common to both samples change with temperature?  Is there an increase in the relative abundance of saturated (or unsaturated) fatty acids with temperature?  How about a change in the abundance of longer chained fatty acids?  Does the saturated to unsaturated ratio change for a given chain length?  Do your results support the general notion that organisms adjust their membrane composition to maintain a con</w:t>
      </w:r>
      <w:bookmarkStart w:id="0" w:name="_GoBack"/>
      <w:bookmarkEnd w:id="0"/>
      <w:r w:rsidR="00AB4FDC" w:rsidRPr="009E16BF">
        <w:t>stant “fluidity”?</w:t>
      </w:r>
    </w:p>
    <w:p w:rsidR="00221805" w:rsidRPr="004F744B" w:rsidRDefault="00AB4FDC" w:rsidP="004F744B">
      <w:pPr>
        <w:pStyle w:val="Heading1"/>
      </w:pPr>
      <w:r w:rsidRPr="004F744B">
        <w:t>References</w:t>
      </w:r>
    </w:p>
    <w:p w:rsidR="00221805" w:rsidRPr="009E16BF" w:rsidRDefault="00AB4FDC" w:rsidP="008F76F0">
      <w:r w:rsidRPr="009E16BF">
        <w:t xml:space="preserve">Cullen, J., Phillips, M.C. and Shipley, G. G. (1971) </w:t>
      </w:r>
      <w:proofErr w:type="spellStart"/>
      <w:r w:rsidRPr="009E16BF">
        <w:rPr>
          <w:u w:val="single"/>
        </w:rPr>
        <w:t>Biochem</w:t>
      </w:r>
      <w:proofErr w:type="spellEnd"/>
      <w:r w:rsidRPr="009E16BF">
        <w:t xml:space="preserve"> </w:t>
      </w:r>
      <w:r w:rsidRPr="009E16BF">
        <w:rPr>
          <w:u w:val="single"/>
        </w:rPr>
        <w:t>J</w:t>
      </w:r>
      <w:r w:rsidRPr="009E16BF">
        <w:t xml:space="preserve">., </w:t>
      </w:r>
      <w:r w:rsidRPr="009E16BF">
        <w:rPr>
          <w:b/>
        </w:rPr>
        <w:t>125</w:t>
      </w:r>
      <w:r w:rsidRPr="009E16BF">
        <w:t>, 733-742.</w:t>
      </w:r>
    </w:p>
    <w:p w:rsidR="00221805" w:rsidRPr="009E16BF" w:rsidRDefault="00AB4FDC" w:rsidP="008F76F0">
      <w:r w:rsidRPr="009E16BF">
        <w:t xml:space="preserve">Fodor, E., </w:t>
      </w:r>
      <w:proofErr w:type="spellStart"/>
      <w:r w:rsidRPr="009E16BF">
        <w:t>Szalla</w:t>
      </w:r>
      <w:proofErr w:type="spellEnd"/>
      <w:r w:rsidRPr="009E16BF">
        <w:t xml:space="preserve">, E., Kiss, Z., Fodor, A., Horvath, L. I., </w:t>
      </w:r>
      <w:proofErr w:type="spellStart"/>
      <w:r w:rsidRPr="009E16BF">
        <w:t>Chitwood</w:t>
      </w:r>
      <w:proofErr w:type="spellEnd"/>
      <w:r w:rsidRPr="009E16BF">
        <w:t xml:space="preserve">, D. J., and </w:t>
      </w:r>
      <w:proofErr w:type="spellStart"/>
      <w:r w:rsidRPr="009E16BF">
        <w:t>Frakas</w:t>
      </w:r>
      <w:proofErr w:type="spellEnd"/>
      <w:r w:rsidRPr="009E16BF">
        <w:t xml:space="preserve">, T. (1997) </w:t>
      </w:r>
      <w:r w:rsidRPr="009E16BF">
        <w:rPr>
          <w:u w:val="single"/>
        </w:rPr>
        <w:t>Applied</w:t>
      </w:r>
      <w:r w:rsidRPr="009E16BF">
        <w:t xml:space="preserve"> </w:t>
      </w:r>
      <w:r w:rsidRPr="009E16BF">
        <w:rPr>
          <w:u w:val="single"/>
        </w:rPr>
        <w:t xml:space="preserve">and </w:t>
      </w:r>
      <w:proofErr w:type="spellStart"/>
      <w:r w:rsidRPr="009E16BF">
        <w:rPr>
          <w:u w:val="single"/>
        </w:rPr>
        <w:t>Env</w:t>
      </w:r>
      <w:proofErr w:type="spellEnd"/>
      <w:r w:rsidRPr="009E16BF">
        <w:t xml:space="preserve">. </w:t>
      </w:r>
      <w:r w:rsidRPr="009E16BF">
        <w:rPr>
          <w:u w:val="single"/>
        </w:rPr>
        <w:t>Micro</w:t>
      </w:r>
      <w:r w:rsidRPr="009E16BF">
        <w:t xml:space="preserve">., </w:t>
      </w:r>
      <w:r w:rsidRPr="009E16BF">
        <w:rPr>
          <w:b/>
        </w:rPr>
        <w:t>63</w:t>
      </w:r>
      <w:r w:rsidRPr="009E16BF">
        <w:t>, 2826 – 2831.</w:t>
      </w:r>
    </w:p>
    <w:p w:rsidR="00221805" w:rsidRPr="009E16BF" w:rsidRDefault="00AB4FDC" w:rsidP="008F76F0">
      <w:proofErr w:type="spellStart"/>
      <w:r w:rsidRPr="009E16BF">
        <w:t>Lepage</w:t>
      </w:r>
      <w:proofErr w:type="spellEnd"/>
      <w:r w:rsidRPr="009E16BF">
        <w:t>, G. and Roy, C. C. (1986)</w:t>
      </w:r>
      <w:r w:rsidRPr="009E16BF">
        <w:rPr>
          <w:u w:val="single"/>
        </w:rPr>
        <w:t xml:space="preserve"> J</w:t>
      </w:r>
      <w:r w:rsidRPr="009E16BF">
        <w:t xml:space="preserve">. </w:t>
      </w:r>
      <w:r w:rsidRPr="009E16BF">
        <w:rPr>
          <w:u w:val="single"/>
        </w:rPr>
        <w:t>Lipid</w:t>
      </w:r>
      <w:r w:rsidRPr="009E16BF">
        <w:t xml:space="preserve"> </w:t>
      </w:r>
      <w:r w:rsidRPr="009E16BF">
        <w:rPr>
          <w:u w:val="single"/>
        </w:rPr>
        <w:t>Research</w:t>
      </w:r>
      <w:r w:rsidRPr="009E16BF">
        <w:t xml:space="preserve">, </w:t>
      </w:r>
      <w:r w:rsidRPr="009E16BF">
        <w:rPr>
          <w:b/>
        </w:rPr>
        <w:t>27</w:t>
      </w:r>
      <w:r w:rsidRPr="009E16BF">
        <w:t>, 114 – 120.</w:t>
      </w:r>
    </w:p>
    <w:p w:rsidR="00221805" w:rsidRPr="009E16BF" w:rsidRDefault="00AB4FDC" w:rsidP="008F76F0">
      <w:r w:rsidRPr="009E16BF">
        <w:t xml:space="preserve">Marr, A. G. and Ingraham, J. L., (1962) </w:t>
      </w:r>
      <w:r w:rsidRPr="009E16BF">
        <w:rPr>
          <w:u w:val="single"/>
        </w:rPr>
        <w:t>J</w:t>
      </w:r>
      <w:r w:rsidRPr="009E16BF">
        <w:t xml:space="preserve">. </w:t>
      </w:r>
      <w:r w:rsidRPr="009E16BF">
        <w:rPr>
          <w:u w:val="single"/>
        </w:rPr>
        <w:t>Bacteriology</w:t>
      </w:r>
      <w:r w:rsidRPr="009E16BF">
        <w:t>,</w:t>
      </w:r>
      <w:r w:rsidRPr="009E16BF">
        <w:rPr>
          <w:b/>
        </w:rPr>
        <w:t xml:space="preserve"> 84</w:t>
      </w:r>
      <w:r w:rsidRPr="009E16BF">
        <w:t>, 1260 – 1267</w:t>
      </w:r>
    </w:p>
    <w:p w:rsidR="00C27570" w:rsidRPr="004F744B" w:rsidRDefault="00C27570">
      <w:pPr>
        <w:spacing w:before="480" w:line="276" w:lineRule="auto"/>
        <w:ind w:firstLine="0"/>
        <w:rPr>
          <w:rFonts w:asciiTheme="majorHAnsi" w:eastAsiaTheme="majorEastAsia" w:hAnsiTheme="majorHAnsi" w:cstheme="majorBidi"/>
          <w:bCs/>
          <w:i/>
          <w:iCs/>
          <w:color w:val="4F81BD" w:themeColor="accent1"/>
        </w:rPr>
      </w:pPr>
      <w:r w:rsidRPr="004F744B">
        <w:br w:type="page"/>
      </w:r>
    </w:p>
    <w:p w:rsidR="00203A6B" w:rsidRDefault="00203A6B" w:rsidP="00203A6B">
      <w:pPr>
        <w:ind w:firstLine="0"/>
      </w:pPr>
      <w:r>
        <w:rPr>
          <w:i/>
          <w:iCs/>
          <w:sz w:val="36"/>
          <w:szCs w:val="36"/>
        </w:rPr>
        <w:lastRenderedPageBreak/>
        <w:t>LB Broth Recipe</w:t>
      </w:r>
      <w:r>
        <w:t xml:space="preserve"> </w:t>
      </w:r>
      <w:r>
        <w:br/>
      </w:r>
      <w:r>
        <w:rPr>
          <w:i/>
          <w:iCs/>
        </w:rPr>
        <w:t>(Luria-</w:t>
      </w:r>
      <w:proofErr w:type="spellStart"/>
      <w:r>
        <w:rPr>
          <w:i/>
          <w:iCs/>
        </w:rPr>
        <w:t>Bertani</w:t>
      </w:r>
      <w:proofErr w:type="spellEnd"/>
      <w:r>
        <w:rPr>
          <w:i/>
          <w:iCs/>
        </w:rPr>
        <w:t>)</w:t>
      </w:r>
      <w:r>
        <w:t xml:space="preserve"> </w:t>
      </w:r>
    </w:p>
    <w:p w:rsidR="00203A6B" w:rsidRDefault="00B67E63" w:rsidP="00203A6B">
      <w:pPr>
        <w:pStyle w:val="NormalWeb"/>
      </w:pPr>
      <w:proofErr w:type="spellStart"/>
      <w:r>
        <w:rPr>
          <w:b/>
          <w:bCs/>
        </w:rPr>
        <w:t>T</w:t>
      </w:r>
      <w:r w:rsidR="00203A6B">
        <w:rPr>
          <w:b/>
          <w:bCs/>
        </w:rPr>
        <w:t>ryptone</w:t>
      </w:r>
      <w:proofErr w:type="spellEnd"/>
      <w:r w:rsidR="00203A6B">
        <w:t xml:space="preserve"> is a </w:t>
      </w:r>
      <w:r w:rsidR="00203A6B" w:rsidRPr="00203A6B">
        <w:t>peptide</w:t>
      </w:r>
      <w:r w:rsidR="00203A6B">
        <w:t xml:space="preserve"> formed by the digestion of </w:t>
      </w:r>
      <w:r w:rsidR="00203A6B" w:rsidRPr="00203A6B">
        <w:t>casein</w:t>
      </w:r>
      <w:r w:rsidR="00203A6B">
        <w:t xml:space="preserve"> (commonly found in milk) by the </w:t>
      </w:r>
      <w:r w:rsidR="00203A6B" w:rsidRPr="00203A6B">
        <w:t>protease</w:t>
      </w:r>
      <w:r w:rsidR="00203A6B">
        <w:t xml:space="preserve"> </w:t>
      </w:r>
      <w:r w:rsidR="00203A6B" w:rsidRPr="00203A6B">
        <w:t>trypsin</w:t>
      </w:r>
      <w:r w:rsidR="00203A6B">
        <w:t>.</w:t>
      </w:r>
      <w:r w:rsidR="00464F88">
        <w:t xml:space="preserve">  </w:t>
      </w:r>
      <w:proofErr w:type="spellStart"/>
      <w:r w:rsidR="00203A6B">
        <w:t>Tryptone</w:t>
      </w:r>
      <w:proofErr w:type="spellEnd"/>
      <w:r w:rsidR="00203A6B">
        <w:t xml:space="preserve"> is commonly used in </w:t>
      </w:r>
      <w:r w:rsidR="00203A6B" w:rsidRPr="00203A6B">
        <w:t>microbiology</w:t>
      </w:r>
      <w:r w:rsidR="00203A6B">
        <w:t xml:space="preserve"> to produce </w:t>
      </w:r>
      <w:proofErr w:type="spellStart"/>
      <w:r w:rsidR="00203A6B" w:rsidRPr="00203A6B">
        <w:t>Lysogeny</w:t>
      </w:r>
      <w:proofErr w:type="spellEnd"/>
      <w:r w:rsidR="00203A6B" w:rsidRPr="00203A6B">
        <w:t xml:space="preserve"> broth</w:t>
      </w:r>
      <w:r w:rsidR="00203A6B">
        <w:t xml:space="preserve"> for the growth of </w:t>
      </w:r>
      <w:r w:rsidR="00203A6B" w:rsidRPr="00203A6B">
        <w:rPr>
          <w:i/>
          <w:iCs/>
        </w:rPr>
        <w:t>E. coli</w:t>
      </w:r>
      <w:r w:rsidR="00203A6B">
        <w:t>.</w:t>
      </w:r>
      <w:r w:rsidR="00464F88">
        <w:t xml:space="preserve"> </w:t>
      </w:r>
      <w:r w:rsidR="00203A6B">
        <w:t xml:space="preserve"> It provides a source of </w:t>
      </w:r>
      <w:r w:rsidR="00203A6B" w:rsidRPr="00203A6B">
        <w:t>protein</w:t>
      </w:r>
      <w:r w:rsidR="00203A6B">
        <w:t xml:space="preserve"> for the growing </w:t>
      </w:r>
      <w:r w:rsidR="00203A6B" w:rsidRPr="00203A6B">
        <w:t>bacteria</w:t>
      </w:r>
      <w:r w:rsidR="00203A6B">
        <w:t>.</w:t>
      </w:r>
    </w:p>
    <w:p w:rsidR="00E155F8" w:rsidRPr="009E16BF" w:rsidRDefault="00E155F8" w:rsidP="00E155F8">
      <w:pPr>
        <w:pStyle w:val="Heading1"/>
        <w:spacing w:before="360"/>
      </w:pPr>
      <w:r w:rsidRPr="009E16BF">
        <w:t>Materials</w:t>
      </w:r>
    </w:p>
    <w:p w:rsidR="00E155F8" w:rsidRDefault="00E155F8" w:rsidP="00E155F8">
      <w:r>
        <w:t>Used to prepare bacteria:</w:t>
      </w:r>
    </w:p>
    <w:p w:rsidR="00E155F8" w:rsidRPr="009E16BF" w:rsidRDefault="00B136F4" w:rsidP="00E155F8">
      <w:pPr>
        <w:spacing w:before="0"/>
        <w:ind w:left="475"/>
      </w:pPr>
      <w:r>
        <w:t>b</w:t>
      </w:r>
      <w:r w:rsidR="00E155F8" w:rsidRPr="009E16BF">
        <w:t xml:space="preserve">acteria: </w:t>
      </w:r>
      <w:r>
        <w:t xml:space="preserve"> </w:t>
      </w:r>
      <w:r w:rsidR="00E155F8" w:rsidRPr="00B136F4">
        <w:rPr>
          <w:i/>
        </w:rPr>
        <w:t>E. Coli</w:t>
      </w:r>
      <w:r w:rsidR="00E155F8" w:rsidRPr="009E16BF">
        <w:t xml:space="preserve"> strain </w:t>
      </w:r>
    </w:p>
    <w:p w:rsidR="00E155F8" w:rsidRPr="009E16BF" w:rsidRDefault="00B136F4" w:rsidP="00E155F8">
      <w:pPr>
        <w:spacing w:before="0"/>
        <w:ind w:left="475"/>
      </w:pPr>
      <w:r>
        <w:t>w</w:t>
      </w:r>
      <w:r w:rsidR="00F332B0">
        <w:t xml:space="preserve">ater bath </w:t>
      </w:r>
      <w:r w:rsidR="00E155F8" w:rsidRPr="009E16BF">
        <w:t>at room temperature (22 to 25</w:t>
      </w:r>
      <w:r w:rsidR="00E155F8" w:rsidRPr="009E16BF">
        <w:rPr>
          <w:vertAlign w:val="superscript"/>
        </w:rPr>
        <w:t>o</w:t>
      </w:r>
      <w:r w:rsidR="00E155F8" w:rsidRPr="009E16BF">
        <w:t>C)</w:t>
      </w:r>
    </w:p>
    <w:p w:rsidR="00E155F8" w:rsidRPr="009E16BF" w:rsidRDefault="00B136F4" w:rsidP="00E155F8">
      <w:pPr>
        <w:spacing w:before="0"/>
        <w:ind w:left="475"/>
      </w:pPr>
      <w:r>
        <w:t>w</w:t>
      </w:r>
      <w:r w:rsidR="00F332B0">
        <w:t xml:space="preserve">ater bath </w:t>
      </w:r>
      <w:r w:rsidR="00E155F8" w:rsidRPr="009E16BF">
        <w:t>at 40</w:t>
      </w:r>
      <w:r w:rsidR="00E155F8" w:rsidRPr="009E16BF">
        <w:rPr>
          <w:vertAlign w:val="superscript"/>
        </w:rPr>
        <w:t>o</w:t>
      </w:r>
      <w:r w:rsidR="00E155F8" w:rsidRPr="009E16BF">
        <w:t>C</w:t>
      </w:r>
    </w:p>
    <w:p w:rsidR="00E155F8" w:rsidRDefault="00E155F8" w:rsidP="00E155F8">
      <w:pPr>
        <w:spacing w:before="0"/>
        <w:ind w:left="475"/>
      </w:pPr>
      <w:r w:rsidRPr="009E16BF">
        <w:t>LB Broth</w:t>
      </w:r>
      <w:r w:rsidR="00F332B0">
        <w:t>, 200 mL for 20 students, so about 500 mL for two sections.</w:t>
      </w:r>
      <w:r w:rsidR="00FE3204">
        <w:t xml:space="preserve">  To prepare, place 12.5 g of LB Broth powder in a 1 L Erlenmeyer flask.  Add 500 mL deionized water.  Place an upside-down beaker over the top of the flask to keep out bacteria.  Heat to boiling.  Pour half of the solution into a </w:t>
      </w:r>
      <w:r w:rsidR="006022FF">
        <w:t xml:space="preserve">500 mL Erlenmeyer flask, then cover that flask with an upside-down beaker, also.  So as not to kill the </w:t>
      </w:r>
      <w:r w:rsidR="006022FF">
        <w:rPr>
          <w:i/>
        </w:rPr>
        <w:t>E. coli</w:t>
      </w:r>
      <w:r w:rsidR="006022FF">
        <w:t xml:space="preserve">, cool the contents of the two flasks (running water, or ice work well).  The 1 L Erlenmeyer should be cooled to room temperature; the 500 mL flask will be maintained at 40°C in a water bath.  Put about equal amounts of the </w:t>
      </w:r>
      <w:r w:rsidR="006022FF">
        <w:rPr>
          <w:i/>
        </w:rPr>
        <w:t>E. coli</w:t>
      </w:r>
      <w:r w:rsidR="006022FF">
        <w:t xml:space="preserve"> solutions into the two flasks.  </w:t>
      </w:r>
    </w:p>
    <w:p w:rsidR="00E155F8" w:rsidRPr="009E16BF" w:rsidRDefault="00E155F8" w:rsidP="00E155F8">
      <w:r>
        <w:t>Used for the lab:</w:t>
      </w:r>
    </w:p>
    <w:p w:rsidR="00F332B0" w:rsidRDefault="00F332B0" w:rsidP="005F716F">
      <w:pPr>
        <w:spacing w:before="0"/>
        <w:ind w:left="1530" w:hanging="540"/>
      </w:pPr>
      <w:r>
        <w:t>Beckman centrifuge (the large centrifuge in the organic lab)</w:t>
      </w:r>
    </w:p>
    <w:p w:rsidR="00E155F8" w:rsidRPr="009E16BF" w:rsidRDefault="00E155F8" w:rsidP="005F716F">
      <w:pPr>
        <w:spacing w:before="0"/>
        <w:ind w:left="1530" w:hanging="540"/>
      </w:pPr>
      <w:r w:rsidRPr="009E16BF">
        <w:t>1</w:t>
      </w:r>
      <w:r w:rsidR="004E1DD1">
        <w:t>5</w:t>
      </w:r>
      <w:r w:rsidRPr="009E16BF">
        <w:t xml:space="preserve"> mL polypropylene centrifuge tube</w:t>
      </w:r>
      <w:r w:rsidR="004E1DD1">
        <w:t>, 2 per student</w:t>
      </w:r>
    </w:p>
    <w:p w:rsidR="00F332B0" w:rsidRDefault="00B136F4" w:rsidP="005F716F">
      <w:pPr>
        <w:spacing w:before="0"/>
        <w:ind w:left="1530" w:hanging="540"/>
      </w:pPr>
      <w:proofErr w:type="spellStart"/>
      <w:r>
        <w:t>m</w:t>
      </w:r>
      <w:r w:rsidR="00E155F8" w:rsidRPr="009E16BF">
        <w:t>ethanol:toluene</w:t>
      </w:r>
      <w:proofErr w:type="spellEnd"/>
      <w:r w:rsidR="00E155F8" w:rsidRPr="009E16BF">
        <w:t xml:space="preserve"> (4</w:t>
      </w:r>
      <w:r w:rsidR="00F332B0">
        <w:t>+</w:t>
      </w:r>
      <w:r w:rsidR="00E155F8" w:rsidRPr="009E16BF">
        <w:t>1 v/v)</w:t>
      </w:r>
      <w:r w:rsidR="00F332B0">
        <w:t>, 50 mL per 20 students, so need 100 mL</w:t>
      </w:r>
    </w:p>
    <w:p w:rsidR="004E1DD1" w:rsidRPr="009E16BF" w:rsidRDefault="00B136F4" w:rsidP="005F716F">
      <w:pPr>
        <w:spacing w:before="0"/>
        <w:ind w:left="1530" w:hanging="540"/>
      </w:pPr>
      <w:r>
        <w:t>t</w:t>
      </w:r>
      <w:r w:rsidR="004E1DD1">
        <w:t>oluene, about 20 mL for 20 students, so a 100 mL bottle would do</w:t>
      </w:r>
    </w:p>
    <w:p w:rsidR="00E155F8" w:rsidRPr="009E16BF" w:rsidRDefault="00B136F4" w:rsidP="005F716F">
      <w:pPr>
        <w:spacing w:before="0"/>
        <w:ind w:left="1530" w:hanging="540"/>
      </w:pPr>
      <w:r>
        <w:t>c</w:t>
      </w:r>
      <w:r w:rsidR="00E155F8" w:rsidRPr="009E16BF">
        <w:t>ulture tube with Teflon lined cap</w:t>
      </w:r>
      <w:r w:rsidR="00160045">
        <w:t xml:space="preserve"> (also called a sample vial)</w:t>
      </w:r>
      <w:r w:rsidR="0023056B">
        <w:t xml:space="preserve">  Need the large ones with black lids, because they need to hold about 9 mL of solution.</w:t>
      </w:r>
    </w:p>
    <w:p w:rsidR="00E155F8" w:rsidRPr="009E16BF" w:rsidRDefault="00B136F4" w:rsidP="005F716F">
      <w:pPr>
        <w:spacing w:before="0"/>
        <w:ind w:left="1530" w:hanging="540"/>
      </w:pPr>
      <w:r>
        <w:t>s</w:t>
      </w:r>
      <w:r w:rsidR="00E155F8" w:rsidRPr="009E16BF">
        <w:t>mall magnetic stir bar</w:t>
      </w:r>
      <w:r w:rsidR="00160045">
        <w:t xml:space="preserve"> to go in the culture tube</w:t>
      </w:r>
    </w:p>
    <w:p w:rsidR="00E155F8" w:rsidRPr="009E16BF" w:rsidRDefault="00B136F4" w:rsidP="005F716F">
      <w:pPr>
        <w:spacing w:before="0"/>
        <w:ind w:left="1530" w:hanging="540"/>
      </w:pPr>
      <w:r>
        <w:t>s</w:t>
      </w:r>
      <w:r w:rsidR="00E155F8" w:rsidRPr="009E16BF">
        <w:t>tirrer/hot plate</w:t>
      </w:r>
    </w:p>
    <w:p w:rsidR="00E155F8" w:rsidRPr="009E16BF" w:rsidRDefault="00B136F4" w:rsidP="005F716F">
      <w:pPr>
        <w:spacing w:before="0"/>
        <w:ind w:left="1530" w:hanging="540"/>
      </w:pPr>
      <w:r>
        <w:t>a</w:t>
      </w:r>
      <w:r w:rsidR="00E155F8" w:rsidRPr="009E16BF">
        <w:t>cetyl chloride</w:t>
      </w:r>
      <w:r w:rsidR="00160045">
        <w:t>; 4 mL for 20 students, so need about 5 mL (a large bottle will do)</w:t>
      </w:r>
    </w:p>
    <w:p w:rsidR="00E155F8" w:rsidRPr="009E16BF" w:rsidRDefault="00E155F8" w:rsidP="005F716F">
      <w:pPr>
        <w:spacing w:before="0"/>
        <w:ind w:left="1530" w:hanging="540"/>
      </w:pPr>
      <w:r w:rsidRPr="009E16BF">
        <w:t xml:space="preserve">100 </w:t>
      </w:r>
      <w:r w:rsidRPr="009E16BF">
        <w:rPr>
          <w:rFonts w:ascii="Symbol" w:hAnsi="Symbol"/>
        </w:rPr>
        <w:t></w:t>
      </w:r>
      <w:r w:rsidRPr="009E16BF">
        <w:t>L glass syringe</w:t>
      </w:r>
      <w:r w:rsidR="005F716F">
        <w:t>s</w:t>
      </w:r>
    </w:p>
    <w:p w:rsidR="00E155F8" w:rsidRPr="009E16BF" w:rsidRDefault="00E155F8" w:rsidP="005F716F">
      <w:pPr>
        <w:spacing w:before="0"/>
        <w:ind w:left="1530" w:hanging="540"/>
      </w:pPr>
      <w:r w:rsidRPr="009E16BF">
        <w:t>400 mL beaker</w:t>
      </w:r>
    </w:p>
    <w:p w:rsidR="00E155F8" w:rsidRPr="009E16BF" w:rsidRDefault="00B136F4" w:rsidP="005F716F">
      <w:pPr>
        <w:spacing w:before="0"/>
        <w:ind w:left="1530" w:hanging="540"/>
      </w:pPr>
      <w:r>
        <w:t>s</w:t>
      </w:r>
      <w:r w:rsidR="00E155F8" w:rsidRPr="009E16BF">
        <w:t>mall glass sample vial</w:t>
      </w:r>
      <w:r w:rsidR="00160045">
        <w:t xml:space="preserve"> for placing the sample in the GC/MS </w:t>
      </w:r>
      <w:proofErr w:type="spellStart"/>
      <w:r w:rsidR="00160045">
        <w:t>autosampler</w:t>
      </w:r>
      <w:proofErr w:type="spellEnd"/>
      <w:r w:rsidR="00160045">
        <w:t xml:space="preserve"> </w:t>
      </w:r>
    </w:p>
    <w:p w:rsidR="00203A6B" w:rsidRDefault="00B136F4" w:rsidP="005F716F">
      <w:pPr>
        <w:spacing w:before="0"/>
        <w:ind w:left="1530" w:hanging="540"/>
      </w:pPr>
      <w:r>
        <w:t>g</w:t>
      </w:r>
      <w:r w:rsidR="00E155F8" w:rsidRPr="009E16BF">
        <w:t xml:space="preserve">as </w:t>
      </w:r>
      <w:r>
        <w:t>c</w:t>
      </w:r>
      <w:r w:rsidR="00E155F8" w:rsidRPr="009E16BF">
        <w:t>hromatograph</w:t>
      </w:r>
      <w:r>
        <w:t>/</w:t>
      </w:r>
      <w:r w:rsidR="00E155F8" w:rsidRPr="009E16BF">
        <w:t xml:space="preserve"> </w:t>
      </w:r>
      <w:r>
        <w:t>m</w:t>
      </w:r>
      <w:r w:rsidR="00E155F8" w:rsidRPr="009E16BF">
        <w:t xml:space="preserve">ass </w:t>
      </w:r>
      <w:r>
        <w:t>spectrometer</w:t>
      </w:r>
    </w:p>
    <w:p w:rsidR="00C27570" w:rsidRDefault="00C27570" w:rsidP="005F716F">
      <w:pPr>
        <w:spacing w:before="0"/>
        <w:ind w:left="1530" w:hanging="540"/>
      </w:pPr>
      <w:r>
        <w:t>6% Na</w:t>
      </w:r>
      <w:r w:rsidRPr="00C27570">
        <w:rPr>
          <w:vertAlign w:val="subscript"/>
        </w:rPr>
        <w:t>2</w:t>
      </w:r>
      <w:r>
        <w:t>CO</w:t>
      </w:r>
      <w:r w:rsidRPr="00C27570">
        <w:rPr>
          <w:vertAlign w:val="subscript"/>
        </w:rPr>
        <w:t>3</w:t>
      </w:r>
      <w:r>
        <w:t>(</w:t>
      </w:r>
      <w:proofErr w:type="spellStart"/>
      <w:r>
        <w:t>aq</w:t>
      </w:r>
      <w:proofErr w:type="spellEnd"/>
      <w:r>
        <w:t>)</w:t>
      </w:r>
      <w:r w:rsidR="00B136F4">
        <w:t xml:space="preserve">, 5 mL per student, so 100 mL per section, so about 250 </w:t>
      </w:r>
      <w:proofErr w:type="spellStart"/>
      <w:r w:rsidR="00B136F4">
        <w:t>mL.</w:t>
      </w:r>
      <w:proofErr w:type="spellEnd"/>
    </w:p>
    <w:p w:rsidR="0023056B" w:rsidRDefault="0023056B" w:rsidP="00C27570">
      <w:pPr>
        <w:spacing w:before="0"/>
        <w:ind w:left="475"/>
      </w:pPr>
    </w:p>
    <w:p w:rsidR="0023056B" w:rsidRPr="0023056B" w:rsidRDefault="0023056B" w:rsidP="00C27570">
      <w:pPr>
        <w:spacing w:before="0"/>
        <w:ind w:left="475"/>
      </w:pPr>
      <w:r>
        <w:t xml:space="preserve">Also need:  2 5 mL </w:t>
      </w:r>
      <w:proofErr w:type="spellStart"/>
      <w:r>
        <w:t>autopipettes</w:t>
      </w:r>
      <w:proofErr w:type="spellEnd"/>
      <w:r>
        <w:t xml:space="preserve"> for dispensing </w:t>
      </w:r>
      <w:r>
        <w:rPr>
          <w:i/>
        </w:rPr>
        <w:t>E. coli</w:t>
      </w:r>
      <w:r>
        <w:t xml:space="preserve">.  </w:t>
      </w:r>
    </w:p>
    <w:sectPr w:rsidR="0023056B" w:rsidRPr="0023056B" w:rsidSect="00D66E30">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0B" w:rsidRDefault="0095310B" w:rsidP="008F76F0">
      <w:pPr>
        <w:pStyle w:val="BodyTextIndent"/>
      </w:pPr>
      <w:r>
        <w:separator/>
      </w:r>
    </w:p>
  </w:endnote>
  <w:endnote w:type="continuationSeparator" w:id="0">
    <w:p w:rsidR="0095310B" w:rsidRDefault="0095310B" w:rsidP="008F76F0">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497" w:rsidRDefault="008E7497" w:rsidP="008F76F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E7497" w:rsidRDefault="008E7497" w:rsidP="008F7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505610"/>
      <w:docPartObj>
        <w:docPartGallery w:val="Page Numbers (Bottom of Page)"/>
        <w:docPartUnique/>
      </w:docPartObj>
    </w:sdtPr>
    <w:sdtContent>
      <w:p w:rsidR="008E7497" w:rsidRDefault="008E7497">
        <w:pPr>
          <w:pStyle w:val="Footer"/>
          <w:jc w:val="center"/>
        </w:pPr>
        <w:r>
          <w:fldChar w:fldCharType="begin"/>
        </w:r>
        <w:r>
          <w:instrText xml:space="preserve"> PAGE   \* MERGEFORMAT </w:instrText>
        </w:r>
        <w:r>
          <w:fldChar w:fldCharType="separate"/>
        </w:r>
        <w:r w:rsidR="00FE24D3">
          <w:rPr>
            <w:noProof/>
          </w:rPr>
          <w:t>6</w:t>
        </w:r>
        <w:r>
          <w:rPr>
            <w:noProof/>
          </w:rPr>
          <w:fldChar w:fldCharType="end"/>
        </w:r>
      </w:p>
    </w:sdtContent>
  </w:sdt>
  <w:p w:rsidR="008E7497" w:rsidRDefault="008E7497" w:rsidP="008F7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0B" w:rsidRDefault="0095310B" w:rsidP="008F76F0">
      <w:pPr>
        <w:pStyle w:val="BodyTextIndent"/>
      </w:pPr>
      <w:r>
        <w:separator/>
      </w:r>
    </w:p>
  </w:footnote>
  <w:footnote w:type="continuationSeparator" w:id="0">
    <w:p w:rsidR="0095310B" w:rsidRDefault="0095310B" w:rsidP="008F76F0">
      <w:pPr>
        <w:pStyle w:val="BodyTextInden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1080"/>
        </w:tabs>
        <w:ind w:left="1080" w:hanging="360"/>
      </w:pPr>
      <w:rPr>
        <w:rFonts w:hint="default"/>
      </w:rPr>
    </w:lvl>
  </w:abstractNum>
  <w:abstractNum w:abstractNumId="1">
    <w:nsid w:val="00000002"/>
    <w:multiLevelType w:val="singleLevel"/>
    <w:tmpl w:val="00000000"/>
    <w:lvl w:ilvl="0">
      <w:start w:val="1"/>
      <w:numFmt w:val="decimal"/>
      <w:lvlText w:val="%1."/>
      <w:legacy w:legacy="1" w:legacySpace="0" w:legacyIndent="360"/>
      <w:lvlJc w:val="left"/>
      <w:pPr>
        <w:ind w:left="1080" w:hanging="360"/>
      </w:pPr>
    </w:lvl>
  </w:abstractNum>
  <w:abstractNum w:abstractNumId="2">
    <w:nsid w:val="00000003"/>
    <w:multiLevelType w:val="singleLevel"/>
    <w:tmpl w:val="00000000"/>
    <w:lvl w:ilvl="0">
      <w:start w:val="1"/>
      <w:numFmt w:val="decimal"/>
      <w:lvlText w:val="%1."/>
      <w:legacy w:legacy="1" w:legacySpace="0" w:legacyIndent="360"/>
      <w:lvlJc w:val="left"/>
      <w:pPr>
        <w:ind w:left="360" w:hanging="360"/>
      </w:pPr>
    </w:lvl>
  </w:abstractNum>
  <w:abstractNum w:abstractNumId="3">
    <w:nsid w:val="1C470E31"/>
    <w:multiLevelType w:val="singleLevel"/>
    <w:tmpl w:val="0409000F"/>
    <w:lvl w:ilvl="0">
      <w:start w:val="1"/>
      <w:numFmt w:val="decimal"/>
      <w:lvlText w:val="%1."/>
      <w:lvlJc w:val="left"/>
      <w:pPr>
        <w:tabs>
          <w:tab w:val="num" w:pos="360"/>
        </w:tabs>
        <w:ind w:left="360" w:hanging="360"/>
      </w:pPr>
    </w:lvl>
  </w:abstractNum>
  <w:abstractNum w:abstractNumId="4">
    <w:nsid w:val="5AB17C4F"/>
    <w:multiLevelType w:val="singleLevel"/>
    <w:tmpl w:val="5AB6740A"/>
    <w:lvl w:ilvl="0">
      <w:start w:val="1"/>
      <w:numFmt w:val="decimal"/>
      <w:lvlText w:val="%1."/>
      <w:legacy w:legacy="1" w:legacySpace="0" w:legacyIndent="360"/>
      <w:lvlJc w:val="left"/>
      <w:pPr>
        <w:ind w:left="108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7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2E86"/>
    <w:rsid w:val="000031EB"/>
    <w:rsid w:val="000732A8"/>
    <w:rsid w:val="000A4EE8"/>
    <w:rsid w:val="000D2D44"/>
    <w:rsid w:val="00160045"/>
    <w:rsid w:val="00164372"/>
    <w:rsid w:val="001A4F2C"/>
    <w:rsid w:val="001F73B8"/>
    <w:rsid w:val="00203A6B"/>
    <w:rsid w:val="00210428"/>
    <w:rsid w:val="00221805"/>
    <w:rsid w:val="0023056B"/>
    <w:rsid w:val="00245408"/>
    <w:rsid w:val="00267D02"/>
    <w:rsid w:val="00277B2A"/>
    <w:rsid w:val="003767F8"/>
    <w:rsid w:val="003867AF"/>
    <w:rsid w:val="003C6CA1"/>
    <w:rsid w:val="00464F88"/>
    <w:rsid w:val="00466970"/>
    <w:rsid w:val="00483E7F"/>
    <w:rsid w:val="004D154E"/>
    <w:rsid w:val="004D2DF6"/>
    <w:rsid w:val="004E1DD1"/>
    <w:rsid w:val="004F650E"/>
    <w:rsid w:val="004F744B"/>
    <w:rsid w:val="00521D6C"/>
    <w:rsid w:val="00582127"/>
    <w:rsid w:val="005F716F"/>
    <w:rsid w:val="006022FF"/>
    <w:rsid w:val="0062616A"/>
    <w:rsid w:val="006E1426"/>
    <w:rsid w:val="006F0E44"/>
    <w:rsid w:val="006F5D70"/>
    <w:rsid w:val="007A7CF0"/>
    <w:rsid w:val="00826296"/>
    <w:rsid w:val="008326E1"/>
    <w:rsid w:val="00844D24"/>
    <w:rsid w:val="00863022"/>
    <w:rsid w:val="0086339E"/>
    <w:rsid w:val="00871F91"/>
    <w:rsid w:val="008C138D"/>
    <w:rsid w:val="008D0724"/>
    <w:rsid w:val="008D454D"/>
    <w:rsid w:val="008E7497"/>
    <w:rsid w:val="008F76F0"/>
    <w:rsid w:val="00923388"/>
    <w:rsid w:val="00936C8D"/>
    <w:rsid w:val="00936EEE"/>
    <w:rsid w:val="009460B9"/>
    <w:rsid w:val="0095310B"/>
    <w:rsid w:val="009E16BF"/>
    <w:rsid w:val="00A07C39"/>
    <w:rsid w:val="00A516BD"/>
    <w:rsid w:val="00AB4FDC"/>
    <w:rsid w:val="00AB6FCB"/>
    <w:rsid w:val="00AC02B7"/>
    <w:rsid w:val="00AD75FB"/>
    <w:rsid w:val="00B01456"/>
    <w:rsid w:val="00B136F4"/>
    <w:rsid w:val="00B308E5"/>
    <w:rsid w:val="00B67E63"/>
    <w:rsid w:val="00B94238"/>
    <w:rsid w:val="00BB0CBD"/>
    <w:rsid w:val="00BE2233"/>
    <w:rsid w:val="00C012B3"/>
    <w:rsid w:val="00C12B9E"/>
    <w:rsid w:val="00C27570"/>
    <w:rsid w:val="00CA6504"/>
    <w:rsid w:val="00CC138F"/>
    <w:rsid w:val="00D44FD3"/>
    <w:rsid w:val="00D51A51"/>
    <w:rsid w:val="00D66E30"/>
    <w:rsid w:val="00D75869"/>
    <w:rsid w:val="00D84579"/>
    <w:rsid w:val="00DD430D"/>
    <w:rsid w:val="00DE7A31"/>
    <w:rsid w:val="00E03246"/>
    <w:rsid w:val="00E05D3B"/>
    <w:rsid w:val="00E155F8"/>
    <w:rsid w:val="00E17329"/>
    <w:rsid w:val="00E25A52"/>
    <w:rsid w:val="00E733DE"/>
    <w:rsid w:val="00E97B00"/>
    <w:rsid w:val="00EE2E86"/>
    <w:rsid w:val="00EF6703"/>
    <w:rsid w:val="00F02BA3"/>
    <w:rsid w:val="00F1598E"/>
    <w:rsid w:val="00F3106B"/>
    <w:rsid w:val="00F332B0"/>
    <w:rsid w:val="00F529E7"/>
    <w:rsid w:val="00F9394D"/>
    <w:rsid w:val="00FB7F39"/>
    <w:rsid w:val="00FE24D3"/>
    <w:rsid w:val="00FE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4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6F0"/>
    <w:pPr>
      <w:spacing w:before="120" w:line="240" w:lineRule="auto"/>
      <w:ind w:firstLine="475"/>
    </w:pPr>
    <w:rPr>
      <w:sz w:val="24"/>
      <w:szCs w:val="24"/>
    </w:rPr>
  </w:style>
  <w:style w:type="paragraph" w:styleId="Heading1">
    <w:name w:val="heading 1"/>
    <w:basedOn w:val="Normal"/>
    <w:next w:val="Normal"/>
    <w:link w:val="Heading1Char"/>
    <w:uiPriority w:val="9"/>
    <w:qFormat/>
    <w:rsid w:val="004F744B"/>
    <w:pPr>
      <w:keepNext/>
      <w:keepLines/>
      <w:spacing w:before="240"/>
      <w:ind w:firstLine="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33DE"/>
    <w:pPr>
      <w:keepNext/>
      <w:keepLines/>
      <w:spacing w:after="120"/>
      <w:ind w:firstLine="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16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16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E16B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E16B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E16B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E16B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E16B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1805"/>
    <w:pPr>
      <w:tabs>
        <w:tab w:val="center" w:pos="4320"/>
        <w:tab w:val="right" w:pos="8640"/>
      </w:tabs>
    </w:pPr>
  </w:style>
  <w:style w:type="paragraph" w:styleId="Title">
    <w:name w:val="Title"/>
    <w:basedOn w:val="Normal"/>
    <w:next w:val="Normal"/>
    <w:link w:val="TitleChar"/>
    <w:uiPriority w:val="10"/>
    <w:qFormat/>
    <w:rsid w:val="009E16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semiHidden/>
    <w:rsid w:val="00221805"/>
    <w:pPr>
      <w:ind w:firstLine="720"/>
    </w:pPr>
  </w:style>
  <w:style w:type="paragraph" w:styleId="BodyTextIndent2">
    <w:name w:val="Body Text Indent 2"/>
    <w:basedOn w:val="Normal"/>
    <w:semiHidden/>
    <w:rsid w:val="00221805"/>
    <w:pPr>
      <w:ind w:firstLine="720"/>
    </w:pPr>
    <w:rPr>
      <w:sz w:val="20"/>
    </w:rPr>
  </w:style>
  <w:style w:type="paragraph" w:styleId="BodyText">
    <w:name w:val="Body Text"/>
    <w:basedOn w:val="Normal"/>
    <w:semiHidden/>
    <w:rsid w:val="00221805"/>
    <w:pPr>
      <w:spacing w:line="480" w:lineRule="auto"/>
      <w:jc w:val="both"/>
    </w:pPr>
    <w:rPr>
      <w:rFonts w:ascii="Helvetica" w:hAnsi="Helvetica"/>
    </w:rPr>
  </w:style>
  <w:style w:type="character" w:styleId="PageNumber">
    <w:name w:val="page number"/>
    <w:basedOn w:val="DefaultParagraphFont"/>
    <w:semiHidden/>
    <w:rsid w:val="00221805"/>
  </w:style>
  <w:style w:type="paragraph" w:styleId="BalloonText">
    <w:name w:val="Balloon Text"/>
    <w:basedOn w:val="Normal"/>
    <w:link w:val="BalloonTextChar"/>
    <w:uiPriority w:val="99"/>
    <w:semiHidden/>
    <w:unhideWhenUsed/>
    <w:rsid w:val="00DD430D"/>
    <w:rPr>
      <w:rFonts w:ascii="Tahoma" w:hAnsi="Tahoma" w:cs="Tahoma"/>
      <w:sz w:val="16"/>
      <w:szCs w:val="16"/>
    </w:rPr>
  </w:style>
  <w:style w:type="character" w:customStyle="1" w:styleId="BalloonTextChar">
    <w:name w:val="Balloon Text Char"/>
    <w:basedOn w:val="DefaultParagraphFont"/>
    <w:link w:val="BalloonText"/>
    <w:uiPriority w:val="99"/>
    <w:semiHidden/>
    <w:rsid w:val="00DD430D"/>
    <w:rPr>
      <w:rFonts w:ascii="Tahoma" w:hAnsi="Tahoma" w:cs="Tahoma"/>
      <w:sz w:val="16"/>
      <w:szCs w:val="16"/>
    </w:rPr>
  </w:style>
  <w:style w:type="character" w:customStyle="1" w:styleId="Heading1Char">
    <w:name w:val="Heading 1 Char"/>
    <w:basedOn w:val="DefaultParagraphFont"/>
    <w:link w:val="Heading1"/>
    <w:uiPriority w:val="9"/>
    <w:rsid w:val="004F74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33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16B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16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16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E16B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E16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E16B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E16B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9E16BF"/>
    <w:rPr>
      <w:b/>
      <w:bCs/>
      <w:color w:val="4F81BD" w:themeColor="accent1"/>
      <w:sz w:val="18"/>
      <w:szCs w:val="18"/>
    </w:rPr>
  </w:style>
  <w:style w:type="character" w:customStyle="1" w:styleId="TitleChar">
    <w:name w:val="Title Char"/>
    <w:basedOn w:val="DefaultParagraphFont"/>
    <w:link w:val="Title"/>
    <w:uiPriority w:val="10"/>
    <w:rsid w:val="009E16B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E16BF"/>
    <w:pPr>
      <w:numPr>
        <w:ilvl w:val="1"/>
      </w:numPr>
      <w:ind w:firstLine="475"/>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E16B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E16BF"/>
    <w:rPr>
      <w:b/>
      <w:bCs/>
    </w:rPr>
  </w:style>
  <w:style w:type="character" w:styleId="Emphasis">
    <w:name w:val="Emphasis"/>
    <w:basedOn w:val="DefaultParagraphFont"/>
    <w:uiPriority w:val="20"/>
    <w:qFormat/>
    <w:rsid w:val="009E16BF"/>
    <w:rPr>
      <w:i/>
      <w:iCs/>
    </w:rPr>
  </w:style>
  <w:style w:type="paragraph" w:styleId="NoSpacing">
    <w:name w:val="No Spacing"/>
    <w:uiPriority w:val="1"/>
    <w:qFormat/>
    <w:rsid w:val="009E16BF"/>
    <w:pPr>
      <w:spacing w:line="240" w:lineRule="auto"/>
    </w:pPr>
  </w:style>
  <w:style w:type="paragraph" w:styleId="ListParagraph">
    <w:name w:val="List Paragraph"/>
    <w:basedOn w:val="Normal"/>
    <w:uiPriority w:val="34"/>
    <w:qFormat/>
    <w:rsid w:val="009E16BF"/>
    <w:pPr>
      <w:ind w:left="720"/>
      <w:contextualSpacing/>
    </w:pPr>
  </w:style>
  <w:style w:type="paragraph" w:styleId="Quote">
    <w:name w:val="Quote"/>
    <w:basedOn w:val="Normal"/>
    <w:next w:val="Normal"/>
    <w:link w:val="QuoteChar"/>
    <w:uiPriority w:val="29"/>
    <w:qFormat/>
    <w:rsid w:val="009E16BF"/>
    <w:rPr>
      <w:i/>
      <w:iCs/>
      <w:color w:val="000000" w:themeColor="text1"/>
    </w:rPr>
  </w:style>
  <w:style w:type="character" w:customStyle="1" w:styleId="QuoteChar">
    <w:name w:val="Quote Char"/>
    <w:basedOn w:val="DefaultParagraphFont"/>
    <w:link w:val="Quote"/>
    <w:uiPriority w:val="29"/>
    <w:rsid w:val="009E16BF"/>
    <w:rPr>
      <w:i/>
      <w:iCs/>
      <w:color w:val="000000" w:themeColor="text1"/>
    </w:rPr>
  </w:style>
  <w:style w:type="paragraph" w:styleId="IntenseQuote">
    <w:name w:val="Intense Quote"/>
    <w:basedOn w:val="Normal"/>
    <w:next w:val="Normal"/>
    <w:link w:val="IntenseQuoteChar"/>
    <w:uiPriority w:val="30"/>
    <w:qFormat/>
    <w:rsid w:val="009E16B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16BF"/>
    <w:rPr>
      <w:b/>
      <w:bCs/>
      <w:i/>
      <w:iCs/>
      <w:color w:val="4F81BD" w:themeColor="accent1"/>
    </w:rPr>
  </w:style>
  <w:style w:type="character" w:styleId="SubtleEmphasis">
    <w:name w:val="Subtle Emphasis"/>
    <w:basedOn w:val="DefaultParagraphFont"/>
    <w:uiPriority w:val="19"/>
    <w:qFormat/>
    <w:rsid w:val="009E16BF"/>
    <w:rPr>
      <w:i/>
      <w:iCs/>
      <w:color w:val="808080" w:themeColor="text1" w:themeTint="7F"/>
    </w:rPr>
  </w:style>
  <w:style w:type="character" w:styleId="IntenseEmphasis">
    <w:name w:val="Intense Emphasis"/>
    <w:basedOn w:val="DefaultParagraphFont"/>
    <w:uiPriority w:val="21"/>
    <w:qFormat/>
    <w:rsid w:val="009E16BF"/>
    <w:rPr>
      <w:b/>
      <w:bCs/>
      <w:i/>
      <w:iCs/>
      <w:color w:val="4F81BD" w:themeColor="accent1"/>
    </w:rPr>
  </w:style>
  <w:style w:type="character" w:styleId="SubtleReference">
    <w:name w:val="Subtle Reference"/>
    <w:basedOn w:val="DefaultParagraphFont"/>
    <w:uiPriority w:val="31"/>
    <w:qFormat/>
    <w:rsid w:val="009E16BF"/>
    <w:rPr>
      <w:smallCaps/>
      <w:color w:val="C0504D" w:themeColor="accent2"/>
      <w:u w:val="single"/>
    </w:rPr>
  </w:style>
  <w:style w:type="character" w:styleId="IntenseReference">
    <w:name w:val="Intense Reference"/>
    <w:basedOn w:val="DefaultParagraphFont"/>
    <w:uiPriority w:val="32"/>
    <w:qFormat/>
    <w:rsid w:val="009E16BF"/>
    <w:rPr>
      <w:b/>
      <w:bCs/>
      <w:smallCaps/>
      <w:color w:val="C0504D" w:themeColor="accent2"/>
      <w:spacing w:val="5"/>
      <w:u w:val="single"/>
    </w:rPr>
  </w:style>
  <w:style w:type="character" w:styleId="BookTitle">
    <w:name w:val="Book Title"/>
    <w:basedOn w:val="DefaultParagraphFont"/>
    <w:uiPriority w:val="33"/>
    <w:qFormat/>
    <w:rsid w:val="009E16BF"/>
    <w:rPr>
      <w:b/>
      <w:bCs/>
      <w:smallCaps/>
      <w:spacing w:val="5"/>
    </w:rPr>
  </w:style>
  <w:style w:type="paragraph" w:styleId="TOCHeading">
    <w:name w:val="TOC Heading"/>
    <w:basedOn w:val="Heading1"/>
    <w:next w:val="Normal"/>
    <w:uiPriority w:val="39"/>
    <w:semiHidden/>
    <w:unhideWhenUsed/>
    <w:qFormat/>
    <w:rsid w:val="009E16BF"/>
    <w:pPr>
      <w:outlineLvl w:val="9"/>
    </w:pPr>
  </w:style>
  <w:style w:type="paragraph" w:styleId="Header">
    <w:name w:val="header"/>
    <w:basedOn w:val="Normal"/>
    <w:link w:val="HeaderChar"/>
    <w:uiPriority w:val="99"/>
    <w:semiHidden/>
    <w:unhideWhenUsed/>
    <w:rsid w:val="00AC02B7"/>
    <w:pPr>
      <w:tabs>
        <w:tab w:val="center" w:pos="4680"/>
        <w:tab w:val="right" w:pos="9360"/>
      </w:tabs>
      <w:spacing w:before="0"/>
    </w:pPr>
  </w:style>
  <w:style w:type="character" w:customStyle="1" w:styleId="HeaderChar">
    <w:name w:val="Header Char"/>
    <w:basedOn w:val="DefaultParagraphFont"/>
    <w:link w:val="Header"/>
    <w:uiPriority w:val="99"/>
    <w:semiHidden/>
    <w:rsid w:val="00AC02B7"/>
    <w:rPr>
      <w:sz w:val="24"/>
      <w:szCs w:val="24"/>
    </w:rPr>
  </w:style>
  <w:style w:type="character" w:customStyle="1" w:styleId="FooterChar">
    <w:name w:val="Footer Char"/>
    <w:basedOn w:val="DefaultParagraphFont"/>
    <w:link w:val="Footer"/>
    <w:uiPriority w:val="99"/>
    <w:rsid w:val="00AC02B7"/>
    <w:rPr>
      <w:sz w:val="24"/>
      <w:szCs w:val="24"/>
    </w:rPr>
  </w:style>
  <w:style w:type="paragraph" w:styleId="NormalWeb">
    <w:name w:val="Normal (Web)"/>
    <w:basedOn w:val="Normal"/>
    <w:uiPriority w:val="99"/>
    <w:semiHidden/>
    <w:unhideWhenUsed/>
    <w:rsid w:val="00203A6B"/>
    <w:pPr>
      <w:spacing w:before="100" w:beforeAutospacing="1" w:after="100" w:afterAutospacing="1"/>
      <w:ind w:firstLine="0"/>
    </w:pPr>
    <w:rPr>
      <w:rFonts w:ascii="Times New Roman" w:eastAsia="Times New Roman" w:hAnsi="Times New Roman" w:cs="Times New Roman"/>
      <w:lang w:bidi="ar-SA"/>
    </w:rPr>
  </w:style>
  <w:style w:type="character" w:styleId="Hyperlink">
    <w:name w:val="Hyperlink"/>
    <w:basedOn w:val="DefaultParagraphFont"/>
    <w:uiPriority w:val="99"/>
    <w:semiHidden/>
    <w:unhideWhenUsed/>
    <w:rsid w:val="00203A6B"/>
    <w:rPr>
      <w:color w:val="0000FF"/>
      <w:u w:val="single"/>
    </w:rPr>
  </w:style>
  <w:style w:type="character" w:styleId="FollowedHyperlink">
    <w:name w:val="FollowedHyperlink"/>
    <w:basedOn w:val="DefaultParagraphFont"/>
    <w:uiPriority w:val="99"/>
    <w:semiHidden/>
    <w:unhideWhenUsed/>
    <w:rsid w:val="00203A6B"/>
    <w:rPr>
      <w:color w:val="800080" w:themeColor="followedHyperlink"/>
      <w:u w:val="single"/>
    </w:rPr>
  </w:style>
  <w:style w:type="table" w:styleId="TableGrid">
    <w:name w:val="Table Grid"/>
    <w:basedOn w:val="TableNormal"/>
    <w:uiPriority w:val="59"/>
    <w:rsid w:val="000D2D44"/>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73973">
      <w:bodyDiv w:val="1"/>
      <w:marLeft w:val="0"/>
      <w:marRight w:val="0"/>
      <w:marTop w:val="0"/>
      <w:marBottom w:val="0"/>
      <w:divBdr>
        <w:top w:val="none" w:sz="0" w:space="0" w:color="auto"/>
        <w:left w:val="none" w:sz="0" w:space="0" w:color="auto"/>
        <w:bottom w:val="none" w:sz="0" w:space="0" w:color="auto"/>
        <w:right w:val="none" w:sz="0" w:space="0" w:color="auto"/>
      </w:divBdr>
    </w:div>
    <w:div w:id="109821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7318</TotalTime>
  <Pages>7</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Supplementary Materials </vt:lpstr>
    </vt:vector>
  </TitlesOfParts>
  <Company>Bloomsburg University</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Materials </dc:title>
  <dc:subject/>
  <dc:creator>Emeric Schultz</dc:creator>
  <cp:keywords/>
  <dc:description/>
  <cp:lastModifiedBy>cking</cp:lastModifiedBy>
  <cp:revision>20</cp:revision>
  <cp:lastPrinted>2012-11-08T17:16:00Z</cp:lastPrinted>
  <dcterms:created xsi:type="dcterms:W3CDTF">2007-10-22T19:12:00Z</dcterms:created>
  <dcterms:modified xsi:type="dcterms:W3CDTF">2013-11-14T16:57:00Z</dcterms:modified>
</cp:coreProperties>
</file>